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3D0" w:rsidRPr="00CD0399" w:rsidRDefault="003423D0" w:rsidP="003C728F">
      <w:pPr>
        <w:ind w:left="142" w:right="-1"/>
        <w:rPr>
          <w:rFonts w:asciiTheme="minorHAnsi" w:hAnsiTheme="minorHAnsi" w:cstheme="minorHAnsi"/>
          <w:sz w:val="16"/>
          <w:szCs w:val="16"/>
        </w:rPr>
      </w:pPr>
    </w:p>
    <w:p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rsidR="001D7FE1" w:rsidRPr="00CD0399" w:rsidRDefault="006239CD"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Opti</w:t>
      </w:r>
      <w:r w:rsidR="009A1198">
        <w:rPr>
          <w:rFonts w:asciiTheme="minorHAnsi" w:hAnsiTheme="minorHAnsi" w:cstheme="minorHAnsi"/>
          <w:b/>
          <w:bCs/>
          <w:i/>
          <w:iCs/>
          <w:color w:val="FF0000"/>
          <w:sz w:val="21"/>
          <w:szCs w:val="21"/>
        </w:rPr>
        <w:t>o</w:t>
      </w:r>
      <w:r>
        <w:rPr>
          <w:rFonts w:asciiTheme="minorHAnsi" w:hAnsiTheme="minorHAnsi" w:cstheme="minorHAnsi"/>
          <w:b/>
          <w:bCs/>
          <w:i/>
          <w:iCs/>
          <w:color w:val="FF0000"/>
          <w:sz w:val="21"/>
          <w:szCs w:val="21"/>
        </w:rPr>
        <w:t xml:space="preserve">nales </w:t>
      </w:r>
      <w:r w:rsidR="00DA666D">
        <w:rPr>
          <w:rFonts w:asciiTheme="minorHAnsi" w:hAnsiTheme="minorHAnsi" w:cstheme="minorHAnsi"/>
          <w:b/>
          <w:bCs/>
          <w:i/>
          <w:iCs/>
          <w:color w:val="FF0000"/>
          <w:sz w:val="21"/>
          <w:szCs w:val="21"/>
        </w:rPr>
        <w:t>Plus an Systemintelligenz</w:t>
      </w:r>
    </w:p>
    <w:p w:rsidR="001D7FE1" w:rsidRPr="00CD0399" w:rsidRDefault="00DA666D"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 xml:space="preserve">Sicherheitslichtgitter mit Mutingfunktion von </w:t>
      </w:r>
      <w:r w:rsidR="00960FB8">
        <w:rPr>
          <w:rFonts w:asciiTheme="minorHAnsi" w:hAnsiTheme="minorHAnsi" w:cstheme="minorHAnsi"/>
          <w:i/>
          <w:iCs/>
          <w:sz w:val="21"/>
          <w:szCs w:val="21"/>
        </w:rPr>
        <w:t>ipf electronic</w:t>
      </w:r>
      <w:r w:rsidR="00960FB8" w:rsidRPr="00CD0399">
        <w:rPr>
          <w:rFonts w:asciiTheme="minorHAnsi" w:hAnsiTheme="minorHAnsi" w:cstheme="minorHAnsi"/>
          <w:sz w:val="21"/>
          <w:szCs w:val="21"/>
        </w:rPr>
        <w:t xml:space="preserve"> </w:t>
      </w:r>
    </w:p>
    <w:p w:rsidR="001D7FE1" w:rsidRPr="00CD0399" w:rsidRDefault="001D7FE1" w:rsidP="003C728F">
      <w:pPr>
        <w:ind w:left="142" w:right="-1"/>
        <w:rPr>
          <w:rFonts w:asciiTheme="minorHAnsi" w:hAnsiTheme="minorHAnsi" w:cstheme="minorHAnsi"/>
          <w:sz w:val="16"/>
          <w:szCs w:val="16"/>
        </w:rPr>
      </w:pPr>
    </w:p>
    <w:p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rsidR="009B590E" w:rsidRPr="00CD0399" w:rsidRDefault="00DA666D" w:rsidP="009B590E">
      <w:pPr>
        <w:rPr>
          <w:rFonts w:asciiTheme="minorHAnsi" w:hAnsiTheme="minorHAnsi" w:cstheme="minorHAnsi"/>
          <w:sz w:val="18"/>
          <w:szCs w:val="18"/>
        </w:rPr>
      </w:pPr>
      <w:r>
        <w:rPr>
          <w:rFonts w:asciiTheme="minorHAnsi" w:hAnsiTheme="minorHAnsi" w:cstheme="minorHAnsi"/>
          <w:sz w:val="18"/>
          <w:szCs w:val="18"/>
        </w:rPr>
        <w:t>Die Sicherheitslichtgitter</w:t>
      </w:r>
      <w:r w:rsidR="00616612">
        <w:rPr>
          <w:rFonts w:asciiTheme="minorHAnsi" w:hAnsiTheme="minorHAnsi" w:cstheme="minorHAnsi"/>
          <w:sz w:val="18"/>
          <w:szCs w:val="18"/>
        </w:rPr>
        <w:t xml:space="preserve"> (Kategorie 4)</w:t>
      </w:r>
      <w:r>
        <w:rPr>
          <w:rFonts w:asciiTheme="minorHAnsi" w:hAnsiTheme="minorHAnsi" w:cstheme="minorHAnsi"/>
          <w:sz w:val="18"/>
          <w:szCs w:val="18"/>
        </w:rPr>
        <w:t xml:space="preserve"> der Reihen OY32</w:t>
      </w:r>
      <w:r w:rsidR="00616612">
        <w:rPr>
          <w:rFonts w:asciiTheme="minorHAnsi" w:hAnsiTheme="minorHAnsi" w:cstheme="minorHAnsi"/>
          <w:sz w:val="18"/>
          <w:szCs w:val="18"/>
        </w:rPr>
        <w:t xml:space="preserve"> (Finger- und Handschutz)</w:t>
      </w:r>
      <w:r>
        <w:rPr>
          <w:rFonts w:asciiTheme="minorHAnsi" w:hAnsiTheme="minorHAnsi" w:cstheme="minorHAnsi"/>
          <w:sz w:val="18"/>
          <w:szCs w:val="18"/>
        </w:rPr>
        <w:t xml:space="preserve"> und OY36 </w:t>
      </w:r>
      <w:r w:rsidR="00970B40">
        <w:rPr>
          <w:rFonts w:asciiTheme="minorHAnsi" w:hAnsiTheme="minorHAnsi" w:cstheme="minorHAnsi"/>
          <w:sz w:val="18"/>
          <w:szCs w:val="18"/>
        </w:rPr>
        <w:t>(</w:t>
      </w:r>
      <w:r w:rsidR="00616612">
        <w:rPr>
          <w:rFonts w:asciiTheme="minorHAnsi" w:hAnsiTheme="minorHAnsi" w:cstheme="minorHAnsi"/>
          <w:sz w:val="18"/>
          <w:szCs w:val="18"/>
        </w:rPr>
        <w:t>Körperschutz</w:t>
      </w:r>
      <w:r w:rsidR="00970B40">
        <w:rPr>
          <w:rFonts w:asciiTheme="minorHAnsi" w:hAnsiTheme="minorHAnsi" w:cstheme="minorHAnsi"/>
          <w:sz w:val="18"/>
          <w:szCs w:val="18"/>
        </w:rPr>
        <w:t xml:space="preserve">) </w:t>
      </w:r>
      <w:r>
        <w:rPr>
          <w:rFonts w:asciiTheme="minorHAnsi" w:hAnsiTheme="minorHAnsi" w:cstheme="minorHAnsi"/>
          <w:sz w:val="18"/>
          <w:szCs w:val="18"/>
        </w:rPr>
        <w:t>von ipf electronic können optional mit einer Mutingfunktion ausgestattet werden. Somit lassen sich auch bereits im Einsat</w:t>
      </w:r>
      <w:r w:rsidR="00F32C04">
        <w:rPr>
          <w:rFonts w:asciiTheme="minorHAnsi" w:hAnsiTheme="minorHAnsi" w:cstheme="minorHAnsi"/>
          <w:sz w:val="18"/>
          <w:szCs w:val="18"/>
        </w:rPr>
        <w:t>z</w:t>
      </w:r>
      <w:r>
        <w:rPr>
          <w:rFonts w:asciiTheme="minorHAnsi" w:hAnsiTheme="minorHAnsi" w:cstheme="minorHAnsi"/>
          <w:sz w:val="18"/>
          <w:szCs w:val="18"/>
        </w:rPr>
        <w:t xml:space="preserve"> befindliche Sicherheitslichtgitter nachrüsten. </w:t>
      </w:r>
    </w:p>
    <w:p w:rsidR="0068650C" w:rsidRPr="00CD0399" w:rsidRDefault="0068650C" w:rsidP="00C61C60">
      <w:pPr>
        <w:rPr>
          <w:rFonts w:asciiTheme="minorHAnsi" w:hAnsiTheme="minorHAnsi" w:cstheme="minorHAnsi"/>
          <w:sz w:val="18"/>
          <w:szCs w:val="18"/>
        </w:rPr>
      </w:pPr>
    </w:p>
    <w:p w:rsidR="00DA666D" w:rsidRDefault="00DA666D" w:rsidP="009B590E">
      <w:pPr>
        <w:rPr>
          <w:rFonts w:asciiTheme="minorHAnsi" w:hAnsiTheme="minorHAnsi" w:cstheme="minorHAnsi"/>
          <w:sz w:val="18"/>
          <w:szCs w:val="18"/>
        </w:rPr>
      </w:pPr>
      <w:r>
        <w:rPr>
          <w:rFonts w:asciiTheme="minorHAnsi" w:hAnsiTheme="minorHAnsi" w:cstheme="minorHAnsi"/>
          <w:sz w:val="18"/>
          <w:szCs w:val="18"/>
        </w:rPr>
        <w:t xml:space="preserve">Muting ist eine Methode, die Schutzfunktion eines Sicherheitslichtgitters kurzfristig automatisch </w:t>
      </w:r>
      <w:r w:rsidR="002A44FF">
        <w:rPr>
          <w:rFonts w:asciiTheme="minorHAnsi" w:hAnsiTheme="minorHAnsi" w:cstheme="minorHAnsi"/>
          <w:sz w:val="18"/>
          <w:szCs w:val="18"/>
        </w:rPr>
        <w:t>während eines</w:t>
      </w:r>
      <w:r>
        <w:rPr>
          <w:rFonts w:asciiTheme="minorHAnsi" w:hAnsiTheme="minorHAnsi" w:cstheme="minorHAnsi"/>
          <w:sz w:val="18"/>
          <w:szCs w:val="18"/>
        </w:rPr>
        <w:t xml:space="preserve"> </w:t>
      </w:r>
      <w:r w:rsidR="00F32C04">
        <w:rPr>
          <w:rFonts w:asciiTheme="minorHAnsi" w:hAnsiTheme="minorHAnsi" w:cstheme="minorHAnsi"/>
          <w:sz w:val="18"/>
          <w:szCs w:val="18"/>
        </w:rPr>
        <w:t>Z</w:t>
      </w:r>
      <w:r>
        <w:rPr>
          <w:rFonts w:asciiTheme="minorHAnsi" w:hAnsiTheme="minorHAnsi" w:cstheme="minorHAnsi"/>
          <w:sz w:val="18"/>
          <w:szCs w:val="18"/>
        </w:rPr>
        <w:t xml:space="preserve">yklus zu deaktivieren, um </w:t>
      </w:r>
      <w:r w:rsidR="00F32C04">
        <w:rPr>
          <w:rFonts w:asciiTheme="minorHAnsi" w:hAnsiTheme="minorHAnsi" w:cstheme="minorHAnsi"/>
          <w:sz w:val="18"/>
          <w:szCs w:val="18"/>
        </w:rPr>
        <w:t xml:space="preserve">Fördergut ungehindert </w:t>
      </w:r>
      <w:r>
        <w:rPr>
          <w:rFonts w:asciiTheme="minorHAnsi" w:hAnsiTheme="minorHAnsi" w:cstheme="minorHAnsi"/>
          <w:sz w:val="18"/>
          <w:szCs w:val="18"/>
        </w:rPr>
        <w:t>in einen abgesicherten Bereich zu transportieren.</w:t>
      </w:r>
    </w:p>
    <w:p w:rsidR="00DA666D" w:rsidRDefault="00DA666D" w:rsidP="009B590E">
      <w:pPr>
        <w:rPr>
          <w:rFonts w:asciiTheme="minorHAnsi" w:hAnsiTheme="minorHAnsi" w:cstheme="minorHAnsi"/>
          <w:sz w:val="18"/>
          <w:szCs w:val="18"/>
        </w:rPr>
      </w:pPr>
      <w:r>
        <w:rPr>
          <w:rFonts w:asciiTheme="minorHAnsi" w:hAnsiTheme="minorHAnsi" w:cstheme="minorHAnsi"/>
          <w:sz w:val="18"/>
          <w:szCs w:val="18"/>
        </w:rPr>
        <w:t xml:space="preserve">Die Sicherheitslichtgitter der Reihen OY32 und OY36 </w:t>
      </w:r>
      <w:r w:rsidR="00F32C04">
        <w:rPr>
          <w:rFonts w:asciiTheme="minorHAnsi" w:hAnsiTheme="minorHAnsi" w:cstheme="minorHAnsi"/>
          <w:sz w:val="18"/>
          <w:szCs w:val="18"/>
        </w:rPr>
        <w:t xml:space="preserve">von ipf electronic </w:t>
      </w:r>
      <w:r w:rsidR="00C45976">
        <w:rPr>
          <w:rFonts w:asciiTheme="minorHAnsi" w:hAnsiTheme="minorHAnsi" w:cstheme="minorHAnsi"/>
          <w:sz w:val="18"/>
          <w:szCs w:val="18"/>
        </w:rPr>
        <w:t xml:space="preserve">können hierzu </w:t>
      </w:r>
      <w:r w:rsidR="00F32C04">
        <w:rPr>
          <w:rFonts w:asciiTheme="minorHAnsi" w:hAnsiTheme="minorHAnsi" w:cstheme="minorHAnsi"/>
          <w:sz w:val="18"/>
          <w:szCs w:val="18"/>
        </w:rPr>
        <w:t xml:space="preserve">durch das Mutingrelais AO98A980 und </w:t>
      </w:r>
      <w:r>
        <w:rPr>
          <w:rFonts w:asciiTheme="minorHAnsi" w:hAnsiTheme="minorHAnsi" w:cstheme="minorHAnsi"/>
          <w:sz w:val="18"/>
          <w:szCs w:val="18"/>
        </w:rPr>
        <w:t>Mutingsensoren er</w:t>
      </w:r>
      <w:r w:rsidR="00F32C04">
        <w:rPr>
          <w:rFonts w:asciiTheme="minorHAnsi" w:hAnsiTheme="minorHAnsi" w:cstheme="minorHAnsi"/>
          <w:sz w:val="18"/>
          <w:szCs w:val="18"/>
        </w:rPr>
        <w:t>weiter</w:t>
      </w:r>
      <w:r w:rsidR="00C45976">
        <w:rPr>
          <w:rFonts w:asciiTheme="minorHAnsi" w:hAnsiTheme="minorHAnsi" w:cstheme="minorHAnsi"/>
          <w:sz w:val="18"/>
          <w:szCs w:val="18"/>
        </w:rPr>
        <w:t>t werden</w:t>
      </w:r>
      <w:r>
        <w:rPr>
          <w:rFonts w:asciiTheme="minorHAnsi" w:hAnsiTheme="minorHAnsi" w:cstheme="minorHAnsi"/>
          <w:sz w:val="18"/>
          <w:szCs w:val="18"/>
        </w:rPr>
        <w:t xml:space="preserve">. </w:t>
      </w:r>
      <w:r w:rsidR="00F32C04">
        <w:rPr>
          <w:rFonts w:asciiTheme="minorHAnsi" w:hAnsiTheme="minorHAnsi" w:cstheme="minorHAnsi"/>
          <w:sz w:val="18"/>
          <w:szCs w:val="18"/>
        </w:rPr>
        <w:t>Passiert Fördergut ein Licht</w:t>
      </w:r>
      <w:r w:rsidR="00C45976">
        <w:rPr>
          <w:rFonts w:asciiTheme="minorHAnsi" w:hAnsiTheme="minorHAnsi" w:cstheme="minorHAnsi"/>
          <w:sz w:val="18"/>
          <w:szCs w:val="18"/>
        </w:rPr>
        <w:t>gitter</w:t>
      </w:r>
      <w:r w:rsidR="00F32C04">
        <w:rPr>
          <w:rFonts w:asciiTheme="minorHAnsi" w:hAnsiTheme="minorHAnsi" w:cstheme="minorHAnsi"/>
          <w:sz w:val="18"/>
          <w:szCs w:val="18"/>
        </w:rPr>
        <w:t xml:space="preserve">, </w:t>
      </w:r>
      <w:r w:rsidR="00CA3EB1">
        <w:rPr>
          <w:rFonts w:asciiTheme="minorHAnsi" w:hAnsiTheme="minorHAnsi" w:cstheme="minorHAnsi"/>
          <w:sz w:val="18"/>
          <w:szCs w:val="18"/>
        </w:rPr>
        <w:t xml:space="preserve">müssen </w:t>
      </w:r>
      <w:r w:rsidR="00F32C04">
        <w:rPr>
          <w:rFonts w:asciiTheme="minorHAnsi" w:hAnsiTheme="minorHAnsi" w:cstheme="minorHAnsi"/>
          <w:sz w:val="18"/>
          <w:szCs w:val="18"/>
        </w:rPr>
        <w:t xml:space="preserve">die Mutingsensoren eine spezifische Signalreihenfolge </w:t>
      </w:r>
      <w:r w:rsidR="00CA3EB1">
        <w:rPr>
          <w:rFonts w:asciiTheme="minorHAnsi" w:hAnsiTheme="minorHAnsi" w:cstheme="minorHAnsi"/>
          <w:sz w:val="18"/>
          <w:szCs w:val="18"/>
        </w:rPr>
        <w:t xml:space="preserve">generieren, um den Mutingzyklus zu starten. </w:t>
      </w:r>
      <w:r w:rsidR="00C45976">
        <w:rPr>
          <w:rFonts w:asciiTheme="minorHAnsi" w:hAnsiTheme="minorHAnsi" w:cstheme="minorHAnsi"/>
          <w:sz w:val="18"/>
          <w:szCs w:val="18"/>
        </w:rPr>
        <w:t xml:space="preserve">Eine Person ist somit nicht in der Lage, über das Mutingrelais </w:t>
      </w:r>
      <w:r w:rsidR="00D47686">
        <w:rPr>
          <w:rFonts w:asciiTheme="minorHAnsi" w:hAnsiTheme="minorHAnsi" w:cstheme="minorHAnsi"/>
          <w:sz w:val="18"/>
          <w:szCs w:val="18"/>
        </w:rPr>
        <w:t xml:space="preserve">mit einem Eingriff oder Zutritt in das Schutzfeld </w:t>
      </w:r>
      <w:r w:rsidR="00C45976">
        <w:rPr>
          <w:rFonts w:asciiTheme="minorHAnsi" w:hAnsiTheme="minorHAnsi" w:cstheme="minorHAnsi"/>
          <w:sz w:val="18"/>
          <w:szCs w:val="18"/>
        </w:rPr>
        <w:t xml:space="preserve">den Zyklus zu aktivieren. </w:t>
      </w:r>
    </w:p>
    <w:p w:rsidR="00C45976" w:rsidRDefault="00C45976" w:rsidP="009B590E">
      <w:pPr>
        <w:rPr>
          <w:rFonts w:asciiTheme="minorHAnsi" w:hAnsiTheme="minorHAnsi" w:cstheme="minorHAnsi"/>
          <w:sz w:val="18"/>
          <w:szCs w:val="18"/>
        </w:rPr>
      </w:pPr>
    </w:p>
    <w:p w:rsidR="003D6220" w:rsidRDefault="00C45976" w:rsidP="009B590E">
      <w:pPr>
        <w:rPr>
          <w:rFonts w:asciiTheme="minorHAnsi" w:hAnsiTheme="minorHAnsi" w:cstheme="minorHAnsi"/>
          <w:sz w:val="18"/>
          <w:szCs w:val="18"/>
        </w:rPr>
      </w:pPr>
      <w:r>
        <w:rPr>
          <w:rFonts w:asciiTheme="minorHAnsi" w:hAnsiTheme="minorHAnsi" w:cstheme="minorHAnsi"/>
          <w:sz w:val="18"/>
          <w:szCs w:val="18"/>
        </w:rPr>
        <w:t xml:space="preserve">Mit dem optionalen Zubehör zu den Lichtgittern lässt sich sowohl ein sequenzielles als auch Kreuz-Muting realisieren. Beim sequenziellen Muting </w:t>
      </w:r>
      <w:r w:rsidR="003D6220">
        <w:rPr>
          <w:rFonts w:asciiTheme="minorHAnsi" w:hAnsiTheme="minorHAnsi" w:cstheme="minorHAnsi"/>
          <w:sz w:val="18"/>
          <w:szCs w:val="18"/>
        </w:rPr>
        <w:t xml:space="preserve">werden mehrere hintereinander geschaltete Sensoren (zwei vor und zwei nach dem Schutzfeld) der Reihe nach vom Fördergut innerhalb des Schutzfeldes aktiviert. Für das Kreuz-Muting sind nur zwei Sensoren erforderlich, deren Erfassungsbereich kreuzförmig angeordnet ist. Der Mutingzyklus startet, wenn beide Sensoren durch das Fördergut aktiviert werden. </w:t>
      </w:r>
    </w:p>
    <w:p w:rsidR="003D6220" w:rsidRDefault="00D47686" w:rsidP="009B590E">
      <w:pPr>
        <w:rPr>
          <w:rFonts w:asciiTheme="minorHAnsi" w:hAnsiTheme="minorHAnsi" w:cstheme="minorHAnsi"/>
          <w:sz w:val="18"/>
          <w:szCs w:val="18"/>
        </w:rPr>
      </w:pPr>
      <w:r>
        <w:rPr>
          <w:rFonts w:asciiTheme="minorHAnsi" w:hAnsiTheme="minorHAnsi" w:cstheme="minorHAnsi"/>
          <w:sz w:val="18"/>
          <w:szCs w:val="18"/>
        </w:rPr>
        <w:t>Die maximal zulässige Dauer des Mutingvorgangs lässt sich in 10 Stufen von 10s bis unendlich einstellen. Der Mutingzyklus der Lichtgitter wird zusätzlich über eine Mutingleuchte signalisiert.</w:t>
      </w:r>
    </w:p>
    <w:p w:rsidR="00970B40" w:rsidRDefault="00970B40" w:rsidP="009B590E">
      <w:pPr>
        <w:rPr>
          <w:rFonts w:asciiTheme="minorHAnsi" w:hAnsiTheme="minorHAnsi" w:cstheme="minorHAnsi"/>
          <w:sz w:val="18"/>
          <w:szCs w:val="18"/>
        </w:rPr>
      </w:pPr>
    </w:p>
    <w:p w:rsidR="00970B40" w:rsidRDefault="00970B40" w:rsidP="009B590E">
      <w:pPr>
        <w:rPr>
          <w:rFonts w:asciiTheme="minorHAnsi" w:hAnsiTheme="minorHAnsi" w:cstheme="minorHAnsi"/>
          <w:sz w:val="18"/>
          <w:szCs w:val="18"/>
        </w:rPr>
      </w:pPr>
      <w:r>
        <w:rPr>
          <w:rFonts w:asciiTheme="minorHAnsi" w:hAnsiTheme="minorHAnsi" w:cstheme="minorHAnsi"/>
          <w:sz w:val="18"/>
          <w:szCs w:val="18"/>
        </w:rPr>
        <w:t xml:space="preserve">Die Sicherheitslichtgitter OY32 für den Finger- und Handschutz stehen mit Schutzfeldhöhen von 150 bis 1800mm und einer Auflösung von 14mm sowie </w:t>
      </w:r>
      <w:r w:rsidR="00616612">
        <w:rPr>
          <w:rFonts w:asciiTheme="minorHAnsi" w:hAnsiTheme="minorHAnsi" w:cstheme="minorHAnsi"/>
          <w:sz w:val="18"/>
          <w:szCs w:val="18"/>
        </w:rPr>
        <w:t xml:space="preserve">einer </w:t>
      </w:r>
      <w:r>
        <w:rPr>
          <w:rFonts w:asciiTheme="minorHAnsi" w:hAnsiTheme="minorHAnsi" w:cstheme="minorHAnsi"/>
          <w:sz w:val="18"/>
          <w:szCs w:val="18"/>
        </w:rPr>
        <w:t xml:space="preserve">Reichweite bis zu 6m (Fingerschutz) bzw. mit einer Auflösung von 30mm und </w:t>
      </w:r>
      <w:r w:rsidR="00616612">
        <w:rPr>
          <w:rFonts w:asciiTheme="minorHAnsi" w:hAnsiTheme="minorHAnsi" w:cstheme="minorHAnsi"/>
          <w:sz w:val="18"/>
          <w:szCs w:val="18"/>
        </w:rPr>
        <w:t xml:space="preserve">einer </w:t>
      </w:r>
      <w:r>
        <w:rPr>
          <w:rFonts w:asciiTheme="minorHAnsi" w:hAnsiTheme="minorHAnsi" w:cstheme="minorHAnsi"/>
          <w:sz w:val="18"/>
          <w:szCs w:val="18"/>
        </w:rPr>
        <w:t xml:space="preserve">Reichweite bis 19m (Handschutz) zur Verfügung. Die Sicherheitslichtgitter </w:t>
      </w:r>
      <w:r w:rsidR="00616612">
        <w:rPr>
          <w:rFonts w:asciiTheme="minorHAnsi" w:hAnsiTheme="minorHAnsi" w:cstheme="minorHAnsi"/>
          <w:sz w:val="18"/>
          <w:szCs w:val="18"/>
        </w:rPr>
        <w:t xml:space="preserve">für den Körperschutz (OY36) werden mit Schutzfeldhöhen von 500, 800, 900 und 1200mm offeriert (Reichweite bis 50m), wobei die Lichtgitter je nach Modell 2 bis 4 Lichtachsen integrieren. </w:t>
      </w:r>
    </w:p>
    <w:p w:rsidR="00DF5EDA" w:rsidRPr="00CD0399" w:rsidRDefault="00DF5EDA" w:rsidP="0068650C">
      <w:pPr>
        <w:rPr>
          <w:rFonts w:asciiTheme="minorHAnsi" w:hAnsiTheme="minorHAnsi" w:cstheme="minorHAnsi"/>
          <w:sz w:val="18"/>
          <w:szCs w:val="18"/>
        </w:rPr>
        <w:sectPr w:rsidR="00DF5EDA" w:rsidRPr="00CD0399" w:rsidSect="00DF5EDA">
          <w:type w:val="continuous"/>
          <w:pgSz w:w="11907" w:h="16840" w:code="9"/>
          <w:pgMar w:top="1134" w:right="851" w:bottom="1134" w:left="851" w:header="0" w:footer="567" w:gutter="0"/>
          <w:cols w:space="265"/>
        </w:sectPr>
      </w:pPr>
    </w:p>
    <w:p w:rsidR="00031CE6" w:rsidRPr="00CD0399" w:rsidRDefault="00031CE6" w:rsidP="0068650C">
      <w:pPr>
        <w:rPr>
          <w:rFonts w:asciiTheme="minorHAnsi" w:hAnsiTheme="minorHAnsi" w:cstheme="minorHAnsi"/>
          <w:sz w:val="18"/>
          <w:szCs w:val="18"/>
        </w:rPr>
      </w:pPr>
    </w:p>
    <w:p w:rsidR="00B17EDA" w:rsidRPr="00CD0399" w:rsidRDefault="00B17EDA" w:rsidP="00B17EDA">
      <w:pPr>
        <w:ind w:right="-1"/>
        <w:rPr>
          <w:rFonts w:asciiTheme="minorHAnsi" w:hAnsiTheme="minorHAnsi" w:cstheme="minorHAnsi"/>
          <w:sz w:val="18"/>
          <w:szCs w:val="18"/>
        </w:rPr>
        <w:sectPr w:rsidR="00B17EDA" w:rsidRPr="00CD0399" w:rsidSect="009B590E">
          <w:type w:val="continuous"/>
          <w:pgSz w:w="11907" w:h="16840" w:code="9"/>
          <w:pgMar w:top="1134" w:right="851" w:bottom="1134" w:left="851" w:header="0" w:footer="567" w:gutter="0"/>
          <w:cols w:num="2" w:space="265"/>
        </w:sectPr>
      </w:pPr>
    </w:p>
    <w:p w:rsidR="003D6220" w:rsidRDefault="003D6220" w:rsidP="00CD0399">
      <w:pPr>
        <w:ind w:right="-1"/>
        <w:rPr>
          <w:rFonts w:asciiTheme="minorHAnsi" w:hAnsiTheme="minorHAnsi" w:cstheme="minorHAnsi"/>
          <w:i/>
          <w:sz w:val="18"/>
          <w:szCs w:val="18"/>
        </w:rPr>
      </w:pPr>
      <w:r>
        <w:rPr>
          <w:rFonts w:asciiTheme="minorHAnsi" w:hAnsiTheme="minorHAnsi" w:cstheme="minorHAnsi"/>
          <w:i/>
          <w:sz w:val="18"/>
          <w:szCs w:val="18"/>
        </w:rPr>
        <w:t xml:space="preserve">Bildunterschrift </w:t>
      </w:r>
      <w:r w:rsidR="0075151A">
        <w:rPr>
          <w:rFonts w:asciiTheme="minorHAnsi" w:hAnsiTheme="minorHAnsi" w:cstheme="minorHAnsi"/>
          <w:i/>
          <w:sz w:val="18"/>
          <w:szCs w:val="18"/>
        </w:rPr>
        <w:t>IPF</w:t>
      </w:r>
      <w:r>
        <w:rPr>
          <w:rFonts w:asciiTheme="minorHAnsi" w:hAnsiTheme="minorHAnsi" w:cstheme="minorHAnsi"/>
          <w:i/>
          <w:sz w:val="18"/>
          <w:szCs w:val="18"/>
        </w:rPr>
        <w:t>_</w:t>
      </w:r>
      <w:r w:rsidR="00FC6DB2">
        <w:rPr>
          <w:rFonts w:asciiTheme="minorHAnsi" w:hAnsiTheme="minorHAnsi" w:cstheme="minorHAnsi"/>
          <w:i/>
          <w:sz w:val="18"/>
          <w:szCs w:val="18"/>
        </w:rPr>
        <w:t>L</w:t>
      </w:r>
      <w:r>
        <w:rPr>
          <w:rFonts w:asciiTheme="minorHAnsi" w:hAnsiTheme="minorHAnsi" w:cstheme="minorHAnsi"/>
          <w:i/>
          <w:sz w:val="18"/>
          <w:szCs w:val="18"/>
        </w:rPr>
        <w:t>ichtgitter_Muting</w:t>
      </w:r>
      <w:r w:rsidR="0075151A">
        <w:rPr>
          <w:rFonts w:asciiTheme="minorHAnsi" w:hAnsiTheme="minorHAnsi" w:cstheme="minorHAnsi"/>
          <w:i/>
          <w:sz w:val="18"/>
          <w:szCs w:val="18"/>
        </w:rPr>
        <w:t>_01</w:t>
      </w:r>
      <w:r>
        <w:rPr>
          <w:rFonts w:asciiTheme="minorHAnsi" w:hAnsiTheme="minorHAnsi" w:cstheme="minorHAnsi"/>
          <w:i/>
          <w:sz w:val="18"/>
          <w:szCs w:val="18"/>
        </w:rPr>
        <w:t>.jpg:</w:t>
      </w:r>
    </w:p>
    <w:p w:rsidR="0075151A" w:rsidRDefault="0075151A" w:rsidP="00CD0399">
      <w:pPr>
        <w:ind w:right="-1"/>
        <w:rPr>
          <w:rFonts w:asciiTheme="minorHAnsi" w:hAnsiTheme="minorHAnsi" w:cstheme="minorHAnsi"/>
          <w:i/>
          <w:sz w:val="18"/>
          <w:szCs w:val="18"/>
        </w:rPr>
      </w:pPr>
    </w:p>
    <w:p w:rsidR="0075151A" w:rsidRDefault="0075151A" w:rsidP="00CD0399">
      <w:pPr>
        <w:ind w:right="-1"/>
        <w:rPr>
          <w:rFonts w:asciiTheme="minorHAnsi" w:hAnsiTheme="minorHAnsi" w:cstheme="minorHAnsi"/>
          <w:i/>
          <w:sz w:val="18"/>
          <w:szCs w:val="18"/>
        </w:rPr>
      </w:pPr>
      <w:r>
        <w:rPr>
          <w:rFonts w:asciiTheme="minorHAnsi" w:hAnsiTheme="minorHAnsi" w:cstheme="minorHAnsi"/>
          <w:i/>
          <w:noProof/>
          <w:sz w:val="18"/>
          <w:szCs w:val="18"/>
        </w:rPr>
        <w:drawing>
          <wp:inline distT="0" distB="0" distL="0" distR="0">
            <wp:extent cx="3096260" cy="1739595"/>
            <wp:effectExtent l="12700" t="12700" r="15240" b="133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Lichtgitter_Muting_01_Presseinfo.jpg"/>
                    <pic:cNvPicPr/>
                  </pic:nvPicPr>
                  <pic:blipFill>
                    <a:blip r:embed="rId14"/>
                    <a:stretch>
                      <a:fillRect/>
                    </a:stretch>
                  </pic:blipFill>
                  <pic:spPr>
                    <a:xfrm>
                      <a:off x="0" y="0"/>
                      <a:ext cx="3139565" cy="1763926"/>
                    </a:xfrm>
                    <a:prstGeom prst="rect">
                      <a:avLst/>
                    </a:prstGeom>
                    <a:ln>
                      <a:solidFill>
                        <a:schemeClr val="tx1"/>
                      </a:solidFill>
                    </a:ln>
                  </pic:spPr>
                </pic:pic>
              </a:graphicData>
            </a:graphic>
          </wp:inline>
        </w:drawing>
      </w:r>
    </w:p>
    <w:p w:rsidR="0075151A" w:rsidRDefault="0075151A" w:rsidP="00CD0399">
      <w:pPr>
        <w:ind w:right="-1"/>
        <w:rPr>
          <w:rFonts w:asciiTheme="minorHAnsi" w:hAnsiTheme="minorHAnsi" w:cstheme="minorHAnsi"/>
          <w:i/>
          <w:sz w:val="18"/>
          <w:szCs w:val="18"/>
        </w:rPr>
      </w:pPr>
    </w:p>
    <w:p w:rsidR="00CD0399" w:rsidRDefault="003D6220" w:rsidP="00CD0399">
      <w:pPr>
        <w:ind w:right="-1"/>
        <w:rPr>
          <w:rFonts w:asciiTheme="minorHAnsi" w:hAnsiTheme="minorHAnsi" w:cstheme="minorHAnsi"/>
          <w:i/>
          <w:sz w:val="18"/>
          <w:szCs w:val="18"/>
        </w:rPr>
      </w:pPr>
      <w:r>
        <w:rPr>
          <w:rFonts w:asciiTheme="minorHAnsi" w:hAnsiTheme="minorHAnsi" w:cstheme="minorHAnsi"/>
          <w:i/>
          <w:sz w:val="18"/>
          <w:szCs w:val="18"/>
        </w:rPr>
        <w:t xml:space="preserve">Die Sicherheitslichtgitter OY32 und OY36 von ipf electronic können bei Bedarf mit einer Mutingfunktion ausgestattet werden. </w:t>
      </w:r>
      <w:r w:rsidR="00D20CC8">
        <w:rPr>
          <w:rFonts w:asciiTheme="minorHAnsi" w:hAnsiTheme="minorHAnsi" w:cstheme="minorHAnsi"/>
          <w:i/>
          <w:sz w:val="18"/>
          <w:szCs w:val="18"/>
        </w:rPr>
        <w:t xml:space="preserve">Durch die kurzfristige automatische Deaktivierung der </w:t>
      </w:r>
      <w:r w:rsidR="00D20CC8" w:rsidRPr="0075151A">
        <w:rPr>
          <w:rFonts w:asciiTheme="minorHAnsi" w:hAnsiTheme="minorHAnsi" w:cstheme="minorHAnsi"/>
          <w:i/>
          <w:iCs/>
          <w:sz w:val="18"/>
          <w:szCs w:val="18"/>
        </w:rPr>
        <w:t xml:space="preserve">Schutzfunktion eines </w:t>
      </w:r>
      <w:r w:rsidR="00D20CC8">
        <w:rPr>
          <w:rFonts w:asciiTheme="minorHAnsi" w:hAnsiTheme="minorHAnsi" w:cstheme="minorHAnsi"/>
          <w:i/>
          <w:iCs/>
          <w:sz w:val="18"/>
          <w:szCs w:val="18"/>
        </w:rPr>
        <w:t>L</w:t>
      </w:r>
      <w:r w:rsidR="00D20CC8" w:rsidRPr="0075151A">
        <w:rPr>
          <w:rFonts w:asciiTheme="minorHAnsi" w:hAnsiTheme="minorHAnsi" w:cstheme="minorHAnsi"/>
          <w:i/>
          <w:iCs/>
          <w:sz w:val="18"/>
          <w:szCs w:val="18"/>
        </w:rPr>
        <w:t>ichtgitters während eines Zyklu</w:t>
      </w:r>
      <w:r w:rsidR="00D20CC8">
        <w:rPr>
          <w:rFonts w:asciiTheme="minorHAnsi" w:hAnsiTheme="minorHAnsi" w:cstheme="minorHAnsi"/>
          <w:i/>
          <w:iCs/>
          <w:sz w:val="18"/>
          <w:szCs w:val="18"/>
        </w:rPr>
        <w:t xml:space="preserve">s lässt sich </w:t>
      </w:r>
      <w:r w:rsidR="00D20CC8" w:rsidRPr="0075151A">
        <w:rPr>
          <w:rFonts w:asciiTheme="minorHAnsi" w:hAnsiTheme="minorHAnsi" w:cstheme="minorHAnsi"/>
          <w:i/>
          <w:iCs/>
          <w:sz w:val="18"/>
          <w:szCs w:val="18"/>
        </w:rPr>
        <w:t>Fördergut ungehindert in einen abgesicherten Bereich transportieren</w:t>
      </w:r>
      <w:r w:rsidR="00D20CC8">
        <w:rPr>
          <w:rFonts w:asciiTheme="minorHAnsi" w:hAnsiTheme="minorHAnsi" w:cstheme="minorHAnsi"/>
          <w:i/>
          <w:iCs/>
          <w:sz w:val="18"/>
          <w:szCs w:val="18"/>
        </w:rPr>
        <w:t xml:space="preserve">. </w:t>
      </w:r>
      <w:r w:rsidR="0091003B" w:rsidRPr="00CD0399">
        <w:rPr>
          <w:rFonts w:asciiTheme="minorHAnsi" w:hAnsiTheme="minorHAnsi" w:cstheme="minorHAnsi"/>
          <w:i/>
          <w:sz w:val="18"/>
          <w:szCs w:val="18"/>
        </w:rPr>
        <w:t>(</w:t>
      </w:r>
      <w:r w:rsidR="0091003B">
        <w:rPr>
          <w:rFonts w:asciiTheme="minorHAnsi" w:hAnsiTheme="minorHAnsi" w:cstheme="minorHAnsi"/>
          <w:i/>
          <w:sz w:val="18"/>
          <w:szCs w:val="18"/>
        </w:rPr>
        <w:t>Bild: ipf electronic</w:t>
      </w:r>
      <w:r w:rsidR="0091003B" w:rsidRPr="00CD0399">
        <w:rPr>
          <w:rFonts w:asciiTheme="minorHAnsi" w:hAnsiTheme="minorHAnsi" w:cstheme="minorHAnsi"/>
          <w:i/>
          <w:sz w:val="18"/>
          <w:szCs w:val="18"/>
        </w:rPr>
        <w:t>)</w:t>
      </w:r>
      <w:bookmarkStart w:id="0" w:name="_GoBack"/>
      <w:bookmarkEnd w:id="0"/>
    </w:p>
    <w:p w:rsidR="0075151A" w:rsidRDefault="0075151A" w:rsidP="00CD0399">
      <w:pPr>
        <w:ind w:right="-1"/>
        <w:rPr>
          <w:rFonts w:asciiTheme="minorHAnsi" w:hAnsiTheme="minorHAnsi" w:cstheme="minorHAnsi"/>
          <w:i/>
          <w:sz w:val="18"/>
          <w:szCs w:val="18"/>
        </w:rPr>
      </w:pPr>
    </w:p>
    <w:p w:rsidR="0075151A" w:rsidRDefault="0075151A" w:rsidP="0075151A">
      <w:pPr>
        <w:ind w:right="-1"/>
        <w:rPr>
          <w:rFonts w:asciiTheme="minorHAnsi" w:hAnsiTheme="minorHAnsi" w:cstheme="minorHAnsi"/>
          <w:i/>
          <w:sz w:val="18"/>
          <w:szCs w:val="18"/>
        </w:rPr>
      </w:pPr>
      <w:r>
        <w:rPr>
          <w:rFonts w:asciiTheme="minorHAnsi" w:hAnsiTheme="minorHAnsi" w:cstheme="minorHAnsi"/>
          <w:i/>
          <w:sz w:val="18"/>
          <w:szCs w:val="18"/>
        </w:rPr>
        <w:t>Bildunterschrift IPF_Lichtgitter_Muting_02.jpg:</w:t>
      </w:r>
    </w:p>
    <w:p w:rsidR="0075151A" w:rsidRDefault="0075151A" w:rsidP="00CD0399">
      <w:pPr>
        <w:ind w:right="-1"/>
        <w:rPr>
          <w:rFonts w:asciiTheme="minorHAnsi" w:hAnsiTheme="minorHAnsi" w:cstheme="minorHAnsi"/>
          <w:i/>
          <w:sz w:val="16"/>
          <w:szCs w:val="16"/>
        </w:rPr>
      </w:pPr>
    </w:p>
    <w:p w:rsidR="0075151A" w:rsidRPr="00CD0399" w:rsidRDefault="00D20CC8" w:rsidP="00CD0399">
      <w:pPr>
        <w:ind w:right="-1"/>
        <w:rPr>
          <w:rFonts w:asciiTheme="minorHAnsi" w:hAnsiTheme="minorHAnsi" w:cstheme="minorHAnsi"/>
          <w:i/>
          <w:sz w:val="16"/>
          <w:szCs w:val="16"/>
        </w:rPr>
      </w:pPr>
      <w:r>
        <w:rPr>
          <w:rFonts w:asciiTheme="minorHAnsi" w:hAnsiTheme="minorHAnsi" w:cstheme="minorHAnsi"/>
          <w:i/>
          <w:noProof/>
          <w:sz w:val="16"/>
          <w:szCs w:val="16"/>
        </w:rPr>
        <w:drawing>
          <wp:inline distT="0" distB="0" distL="0" distR="0">
            <wp:extent cx="3095672" cy="1739265"/>
            <wp:effectExtent l="12700" t="12700" r="15875" b="133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F_Lichtgitter_Muting_02_Presseinfo.jpg"/>
                    <pic:cNvPicPr/>
                  </pic:nvPicPr>
                  <pic:blipFill>
                    <a:blip r:embed="rId15"/>
                    <a:stretch>
                      <a:fillRect/>
                    </a:stretch>
                  </pic:blipFill>
                  <pic:spPr>
                    <a:xfrm>
                      <a:off x="0" y="0"/>
                      <a:ext cx="3149682" cy="1769610"/>
                    </a:xfrm>
                    <a:prstGeom prst="rect">
                      <a:avLst/>
                    </a:prstGeom>
                    <a:ln>
                      <a:solidFill>
                        <a:schemeClr val="tx1"/>
                      </a:solidFill>
                    </a:ln>
                  </pic:spPr>
                </pic:pic>
              </a:graphicData>
            </a:graphic>
          </wp:inline>
        </w:drawing>
      </w:r>
    </w:p>
    <w:p w:rsidR="00CD0399" w:rsidRPr="00CD0399" w:rsidRDefault="00CD0399" w:rsidP="00DF5EDA">
      <w:pPr>
        <w:rPr>
          <w:rFonts w:asciiTheme="minorHAnsi" w:hAnsiTheme="minorHAnsi" w:cstheme="minorHAnsi"/>
          <w:b/>
          <w:sz w:val="18"/>
          <w:szCs w:val="18"/>
        </w:rPr>
      </w:pPr>
    </w:p>
    <w:p w:rsidR="0075151A" w:rsidRDefault="00D20CC8" w:rsidP="0075151A">
      <w:pPr>
        <w:ind w:right="-1"/>
        <w:rPr>
          <w:rFonts w:asciiTheme="minorHAnsi" w:hAnsiTheme="minorHAnsi" w:cstheme="minorHAnsi"/>
          <w:i/>
          <w:sz w:val="18"/>
          <w:szCs w:val="18"/>
        </w:rPr>
      </w:pPr>
      <w:r>
        <w:rPr>
          <w:rFonts w:asciiTheme="minorHAnsi" w:hAnsiTheme="minorHAnsi" w:cstheme="minorHAnsi"/>
          <w:i/>
          <w:sz w:val="18"/>
          <w:szCs w:val="18"/>
        </w:rPr>
        <w:t>Die Detailaufnahme zeigt ein sequenzielles Muting mit mehreren hintereinander geschalteten Sensoren.</w:t>
      </w:r>
      <w:r w:rsidRPr="00CD0399">
        <w:rPr>
          <w:rFonts w:asciiTheme="minorHAnsi" w:hAnsiTheme="minorHAnsi" w:cstheme="minorHAnsi"/>
          <w:i/>
          <w:sz w:val="18"/>
          <w:szCs w:val="18"/>
        </w:rPr>
        <w:t xml:space="preserve"> (</w:t>
      </w:r>
      <w:r>
        <w:rPr>
          <w:rFonts w:asciiTheme="minorHAnsi" w:hAnsiTheme="minorHAnsi" w:cstheme="minorHAnsi"/>
          <w:i/>
          <w:sz w:val="18"/>
          <w:szCs w:val="18"/>
        </w:rPr>
        <w:t>Bild: ipf electronic</w:t>
      </w:r>
      <w:r w:rsidRPr="00CD0399">
        <w:rPr>
          <w:rFonts w:asciiTheme="minorHAnsi" w:hAnsiTheme="minorHAnsi" w:cstheme="minorHAnsi"/>
          <w:i/>
          <w:sz w:val="18"/>
          <w:szCs w:val="18"/>
        </w:rPr>
        <w:t xml:space="preserve">) </w:t>
      </w:r>
    </w:p>
    <w:p w:rsidR="00CD0399" w:rsidRPr="00CD0399" w:rsidRDefault="00CD0399" w:rsidP="00DF5EDA">
      <w:pPr>
        <w:rPr>
          <w:rFonts w:asciiTheme="minorHAnsi" w:hAnsiTheme="minorHAnsi" w:cstheme="minorHAnsi"/>
          <w:b/>
          <w:sz w:val="18"/>
          <w:szCs w:val="18"/>
        </w:rPr>
      </w:pPr>
    </w:p>
    <w:p w:rsidR="00CD0399" w:rsidRPr="00CD0399" w:rsidRDefault="00CD0399" w:rsidP="00DF5EDA">
      <w:pPr>
        <w:rPr>
          <w:rFonts w:asciiTheme="minorHAnsi" w:hAnsiTheme="minorHAnsi" w:cstheme="minorHAnsi"/>
          <w:sz w:val="18"/>
          <w:szCs w:val="18"/>
        </w:rPr>
      </w:pPr>
    </w:p>
    <w:p w:rsidR="00CD0399" w:rsidRPr="00CD0399" w:rsidRDefault="00CD0399" w:rsidP="00CD0399">
      <w:pPr>
        <w:keepNext/>
        <w:keepLines/>
        <w:autoSpaceDE w:val="0"/>
        <w:autoSpaceDN w:val="0"/>
        <w:adjustRightInd w:val="0"/>
        <w:spacing w:line="240" w:lineRule="exact"/>
        <w:ind w:left="-99" w:right="-1"/>
        <w:rPr>
          <w:rFonts w:asciiTheme="minorHAnsi" w:hAnsiTheme="minorHAnsi" w:cstheme="minorHAnsi"/>
          <w:sz w:val="17"/>
          <w:szCs w:val="17"/>
        </w:rPr>
      </w:pPr>
      <w:r w:rsidRPr="00CD0399">
        <w:rPr>
          <w:rFonts w:asciiTheme="minorHAnsi" w:hAnsiTheme="minorHAnsi" w:cstheme="minorHAnsi"/>
          <w:b/>
          <w:i/>
          <w:color w:val="FF0000"/>
        </w:rPr>
        <w:t>ÜBER IPF ELECTRONIC</w:t>
      </w:r>
      <w:r w:rsidRPr="00CD0399">
        <w:rPr>
          <w:rFonts w:asciiTheme="minorHAnsi" w:hAnsiTheme="minorHAnsi" w:cstheme="minorHAnsi"/>
          <w:sz w:val="17"/>
          <w:szCs w:val="17"/>
        </w:rPr>
        <w:t xml:space="preserve"> </w:t>
      </w:r>
    </w:p>
    <w:p w:rsidR="00CD0399" w:rsidRPr="00CD0399" w:rsidRDefault="00CD0399" w:rsidP="00CD0399">
      <w:pPr>
        <w:keepNext/>
        <w:keepLines/>
        <w:autoSpaceDE w:val="0"/>
        <w:autoSpaceDN w:val="0"/>
        <w:adjustRightInd w:val="0"/>
        <w:spacing w:line="240" w:lineRule="exact"/>
        <w:ind w:left="-99"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rsidR="00CD0399" w:rsidRPr="00CD0399" w:rsidRDefault="00CD0399" w:rsidP="00CD0399">
      <w:pPr>
        <w:keepNext/>
        <w:keepLines/>
        <w:autoSpaceDE w:val="0"/>
        <w:autoSpaceDN w:val="0"/>
        <w:adjustRightInd w:val="0"/>
        <w:spacing w:line="240" w:lineRule="exact"/>
        <w:ind w:left="-99"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rsidR="00CD0399" w:rsidRPr="00CD0399" w:rsidRDefault="00CD0399" w:rsidP="00DF5EDA">
      <w:pPr>
        <w:rPr>
          <w:rFonts w:asciiTheme="minorHAnsi" w:hAnsiTheme="minorHAnsi" w:cstheme="minorHAnsi"/>
          <w:sz w:val="18"/>
          <w:szCs w:val="18"/>
        </w:rPr>
      </w:pPr>
    </w:p>
    <w:p w:rsidR="00DF5EDA" w:rsidRPr="00CD0399" w:rsidRDefault="00DF5EDA" w:rsidP="00242329">
      <w:pPr>
        <w:ind w:right="-1"/>
        <w:rPr>
          <w:rFonts w:asciiTheme="minorHAnsi" w:hAnsiTheme="minorHAnsi" w:cstheme="minorHAnsi"/>
          <w:sz w:val="18"/>
          <w:szCs w:val="18"/>
        </w:rPr>
      </w:pPr>
    </w:p>
    <w:p w:rsidR="00DF5EDA" w:rsidRPr="00CD0399" w:rsidRDefault="00DF5EDA" w:rsidP="00DF5EDA">
      <w:pPr>
        <w:keepNext/>
        <w:keepLines/>
        <w:autoSpaceDE w:val="0"/>
        <w:autoSpaceDN w:val="0"/>
        <w:adjustRightInd w:val="0"/>
        <w:ind w:left="-96"/>
        <w:rPr>
          <w:rFonts w:asciiTheme="minorHAnsi" w:hAnsiTheme="minorHAnsi" w:cstheme="minorHAnsi"/>
          <w:sz w:val="17"/>
          <w:szCs w:val="17"/>
        </w:rPr>
      </w:pPr>
      <w:r w:rsidRPr="00CD0399">
        <w:rPr>
          <w:rFonts w:asciiTheme="minorHAnsi" w:hAnsiTheme="minorHAnsi" w:cstheme="minorHAnsi"/>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rsidR="00DF5EDA" w:rsidRPr="00CD0399" w:rsidRDefault="00DF5EDA" w:rsidP="00DF5EDA">
      <w:pPr>
        <w:keepNext/>
        <w:keepLines/>
        <w:autoSpaceDE w:val="0"/>
        <w:autoSpaceDN w:val="0"/>
        <w:adjustRightInd w:val="0"/>
        <w:ind w:left="-96"/>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rsidR="00DF5EDA" w:rsidRPr="00CD0399" w:rsidRDefault="00DF5EDA" w:rsidP="00DF5EDA">
      <w:pPr>
        <w:keepNext/>
        <w:keepLines/>
        <w:autoSpaceDE w:val="0"/>
        <w:autoSpaceDN w:val="0"/>
        <w:adjustRightInd w:val="0"/>
        <w:ind w:left="-96"/>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rsidR="00DF5EDA" w:rsidRPr="00CD0399" w:rsidRDefault="00DF5EDA" w:rsidP="00242329">
      <w:pPr>
        <w:ind w:right="-1"/>
        <w:rPr>
          <w:rFonts w:asciiTheme="minorHAnsi" w:hAnsiTheme="minorHAnsi" w:cstheme="minorHAnsi"/>
          <w:sz w:val="16"/>
          <w:szCs w:val="16"/>
        </w:rPr>
      </w:pPr>
    </w:p>
    <w:p w:rsidR="00CD0399" w:rsidRPr="00CD0399" w:rsidRDefault="00CD0399" w:rsidP="00242329">
      <w:pPr>
        <w:ind w:right="-1"/>
        <w:rPr>
          <w:rFonts w:asciiTheme="minorHAnsi" w:hAnsiTheme="minorHAnsi" w:cstheme="minorHAnsi"/>
          <w:sz w:val="16"/>
          <w:szCs w:val="16"/>
        </w:rPr>
      </w:pPr>
    </w:p>
    <w:p w:rsidR="006371DD" w:rsidRDefault="006371DD" w:rsidP="00DF5EDA">
      <w:pPr>
        <w:keepNext/>
        <w:keepLines/>
        <w:tabs>
          <w:tab w:val="left" w:pos="284"/>
        </w:tabs>
        <w:ind w:right="-1"/>
        <w:rPr>
          <w:rFonts w:asciiTheme="minorHAnsi" w:hAnsiTheme="minorHAnsi" w:cstheme="minorHAnsi"/>
          <w:b/>
          <w:i/>
          <w:color w:val="FF0000"/>
        </w:rPr>
      </w:pPr>
    </w:p>
    <w:p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Kalver Str. 25 – 27</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58515 Lüdenscheid</w:t>
      </w:r>
    </w:p>
    <w:p w:rsidR="00DF5EDA" w:rsidRPr="00383051" w:rsidRDefault="00465F3D" w:rsidP="00DF5EDA">
      <w:pPr>
        <w:keepNext/>
        <w:keepLines/>
        <w:tabs>
          <w:tab w:val="left" w:pos="284"/>
        </w:tabs>
        <w:ind w:right="-1"/>
        <w:rPr>
          <w:rStyle w:val="Hyperlink"/>
          <w:rFonts w:asciiTheme="minorHAnsi" w:hAnsiTheme="minorHAnsi" w:cstheme="minorHAnsi"/>
          <w:color w:val="auto"/>
          <w:sz w:val="17"/>
          <w:szCs w:val="17"/>
          <w:u w:val="none"/>
        </w:rPr>
      </w:pPr>
      <w:hyperlink r:id="rId16" w:history="1">
        <w:r w:rsidR="00DF5EDA" w:rsidRPr="00383051">
          <w:rPr>
            <w:rStyle w:val="Hyperlink"/>
            <w:rFonts w:asciiTheme="minorHAnsi" w:hAnsiTheme="minorHAnsi" w:cstheme="minorHAnsi"/>
            <w:color w:val="auto"/>
            <w:sz w:val="17"/>
            <w:szCs w:val="17"/>
            <w:u w:val="none"/>
          </w:rPr>
          <w:t>info@ipf.de</w:t>
        </w:r>
      </w:hyperlink>
    </w:p>
    <w:p w:rsidR="00DF5EDA" w:rsidRPr="00383051" w:rsidRDefault="00465F3D" w:rsidP="00242329">
      <w:pPr>
        <w:ind w:right="-1"/>
        <w:rPr>
          <w:rStyle w:val="Hyperlink"/>
          <w:rFonts w:asciiTheme="minorHAnsi" w:hAnsiTheme="minorHAnsi" w:cstheme="minorHAnsi"/>
          <w:b/>
          <w:color w:val="auto"/>
          <w:sz w:val="17"/>
          <w:szCs w:val="17"/>
          <w:u w:val="none"/>
        </w:rPr>
      </w:pPr>
      <w:hyperlink r:id="rId17" w:history="1">
        <w:r w:rsidR="00DF5EDA" w:rsidRPr="00383051">
          <w:rPr>
            <w:rStyle w:val="Hyperlink"/>
            <w:rFonts w:asciiTheme="minorHAnsi" w:hAnsiTheme="minorHAnsi" w:cstheme="minorHAnsi"/>
            <w:b/>
            <w:color w:val="auto"/>
            <w:sz w:val="17"/>
            <w:szCs w:val="17"/>
            <w:u w:val="none"/>
          </w:rPr>
          <w:t>www.ipf.de</w:t>
        </w:r>
      </w:hyperlink>
    </w:p>
    <w:p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rsidR="00DF5EDA" w:rsidRPr="00CD0399" w:rsidRDefault="00DF5EDA" w:rsidP="00242329">
      <w:pPr>
        <w:ind w:right="-1"/>
        <w:rPr>
          <w:rFonts w:asciiTheme="minorHAnsi" w:hAnsiTheme="minorHAnsi" w:cstheme="minorHAnsi"/>
          <w:b/>
          <w:sz w:val="17"/>
          <w:szCs w:val="17"/>
        </w:rPr>
      </w:pPr>
    </w:p>
    <w:p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F3D" w:rsidRDefault="00465F3D">
      <w:r>
        <w:separator/>
      </w:r>
    </w:p>
  </w:endnote>
  <w:endnote w:type="continuationSeparator" w:id="0">
    <w:p w:rsidR="00465F3D" w:rsidRDefault="0046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altName w:val="Corbe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960FB8">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960FB8">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F3D" w:rsidRDefault="00465F3D">
      <w:r>
        <w:separator/>
      </w:r>
    </w:p>
  </w:footnote>
  <w:footnote w:type="continuationSeparator" w:id="0">
    <w:p w:rsidR="00465F3D" w:rsidRDefault="0046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58" w:rsidRDefault="006304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BB" w:rsidRDefault="002029BB" w:rsidP="00B27F97">
    <w:pPr>
      <w:pStyle w:val="Kopfzeile"/>
    </w:pPr>
  </w:p>
  <w:p w:rsidR="002029BB" w:rsidRPr="006371DD" w:rsidRDefault="002029BB" w:rsidP="00B27F97">
    <w:pPr>
      <w:pStyle w:val="Kopfzeile"/>
      <w:rPr>
        <w:color w:val="000000" w:themeColor="text1"/>
      </w:rPr>
    </w:pPr>
  </w:p>
  <w:p w:rsidR="002029BB" w:rsidRPr="006371DD" w:rsidRDefault="002029BB" w:rsidP="00B27F97">
    <w:pPr>
      <w:pStyle w:val="Kopfzeile"/>
      <w:rPr>
        <w:color w:val="000000" w:themeColor="text1"/>
      </w:rPr>
    </w:pPr>
  </w:p>
  <w:p w:rsidR="002029BB" w:rsidRPr="006371DD" w:rsidRDefault="00630458" w:rsidP="00B27F97">
    <w:pPr>
      <w:pStyle w:val="Kopfzeile"/>
      <w:tabs>
        <w:tab w:val="clear" w:pos="9072"/>
        <w:tab w:val="right" w:pos="9923"/>
      </w:tabs>
      <w:ind w:right="-285"/>
      <w:rPr>
        <w:color w:val="000000" w:themeColor="text1"/>
      </w:rPr>
    </w:pPr>
    <w:r>
      <w:rPr>
        <w:noProof/>
        <w:color w:val="000000" w:themeColor="text1"/>
      </w:rPr>
      <w:drawing>
        <wp:inline distT="0" distB="0" distL="0" distR="0">
          <wp:extent cx="2128520" cy="236168"/>
          <wp:effectExtent l="0" t="0" r="0" b="5715"/>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stretch>
                    <a:fillRect/>
                  </a:stretch>
                </pic:blipFill>
                <pic:spPr>
                  <a:xfrm>
                    <a:off x="0" y="0"/>
                    <a:ext cx="2357260" cy="261548"/>
                  </a:xfrm>
                  <a:prstGeom prst="rect">
                    <a:avLst/>
                  </a:prstGeom>
                </pic:spPr>
              </pic:pic>
            </a:graphicData>
          </a:graphic>
        </wp:inline>
      </w:drawing>
    </w:r>
  </w:p>
  <w:p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56"/>
    <w:rsid w:val="000060E5"/>
    <w:rsid w:val="000131FA"/>
    <w:rsid w:val="00016A52"/>
    <w:rsid w:val="00021131"/>
    <w:rsid w:val="00031CE6"/>
    <w:rsid w:val="00035E93"/>
    <w:rsid w:val="0006533C"/>
    <w:rsid w:val="00085021"/>
    <w:rsid w:val="00090D32"/>
    <w:rsid w:val="000B6B9B"/>
    <w:rsid w:val="000C120E"/>
    <w:rsid w:val="000C45D8"/>
    <w:rsid w:val="000C5C18"/>
    <w:rsid w:val="000F03E2"/>
    <w:rsid w:val="000F56A3"/>
    <w:rsid w:val="00125852"/>
    <w:rsid w:val="00126E1A"/>
    <w:rsid w:val="001279B9"/>
    <w:rsid w:val="001501B8"/>
    <w:rsid w:val="0017095E"/>
    <w:rsid w:val="00174922"/>
    <w:rsid w:val="0017615C"/>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55F02"/>
    <w:rsid w:val="00261A61"/>
    <w:rsid w:val="00276F11"/>
    <w:rsid w:val="00286A1B"/>
    <w:rsid w:val="00292B4A"/>
    <w:rsid w:val="002A44FF"/>
    <w:rsid w:val="002D34FA"/>
    <w:rsid w:val="002F0844"/>
    <w:rsid w:val="00300500"/>
    <w:rsid w:val="00302A15"/>
    <w:rsid w:val="003151C8"/>
    <w:rsid w:val="003160C3"/>
    <w:rsid w:val="00322F34"/>
    <w:rsid w:val="00323D27"/>
    <w:rsid w:val="00335A40"/>
    <w:rsid w:val="00335AA2"/>
    <w:rsid w:val="003423D0"/>
    <w:rsid w:val="00350A98"/>
    <w:rsid w:val="00352C01"/>
    <w:rsid w:val="003558C8"/>
    <w:rsid w:val="00361189"/>
    <w:rsid w:val="003617E1"/>
    <w:rsid w:val="00371DAF"/>
    <w:rsid w:val="00383051"/>
    <w:rsid w:val="0038480B"/>
    <w:rsid w:val="00384CE0"/>
    <w:rsid w:val="003A47E8"/>
    <w:rsid w:val="003C2629"/>
    <w:rsid w:val="003C4BFC"/>
    <w:rsid w:val="003C728F"/>
    <w:rsid w:val="003D6220"/>
    <w:rsid w:val="003F23E5"/>
    <w:rsid w:val="00402686"/>
    <w:rsid w:val="00420378"/>
    <w:rsid w:val="00431F2C"/>
    <w:rsid w:val="0043472E"/>
    <w:rsid w:val="00456FF9"/>
    <w:rsid w:val="0046540A"/>
    <w:rsid w:val="00465F3D"/>
    <w:rsid w:val="00477BAC"/>
    <w:rsid w:val="00495E2B"/>
    <w:rsid w:val="004A119B"/>
    <w:rsid w:val="004B6255"/>
    <w:rsid w:val="004D27E9"/>
    <w:rsid w:val="004F7353"/>
    <w:rsid w:val="005027CA"/>
    <w:rsid w:val="0051037D"/>
    <w:rsid w:val="00511A0D"/>
    <w:rsid w:val="00525458"/>
    <w:rsid w:val="00525B3E"/>
    <w:rsid w:val="00555C64"/>
    <w:rsid w:val="00555D2C"/>
    <w:rsid w:val="0055763D"/>
    <w:rsid w:val="00580CC7"/>
    <w:rsid w:val="005B1F22"/>
    <w:rsid w:val="005C2E3B"/>
    <w:rsid w:val="005D0108"/>
    <w:rsid w:val="005D2E7E"/>
    <w:rsid w:val="005D7985"/>
    <w:rsid w:val="005F286A"/>
    <w:rsid w:val="00613085"/>
    <w:rsid w:val="006143BE"/>
    <w:rsid w:val="00616612"/>
    <w:rsid w:val="006239CD"/>
    <w:rsid w:val="00625C02"/>
    <w:rsid w:val="00627CB3"/>
    <w:rsid w:val="00630458"/>
    <w:rsid w:val="006366C7"/>
    <w:rsid w:val="006371DD"/>
    <w:rsid w:val="00641A0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131DD"/>
    <w:rsid w:val="00713AD5"/>
    <w:rsid w:val="00721D08"/>
    <w:rsid w:val="00724F53"/>
    <w:rsid w:val="0073362A"/>
    <w:rsid w:val="0074197E"/>
    <w:rsid w:val="0075151A"/>
    <w:rsid w:val="00761BAA"/>
    <w:rsid w:val="00765FE2"/>
    <w:rsid w:val="007911C1"/>
    <w:rsid w:val="00793A81"/>
    <w:rsid w:val="007D77B2"/>
    <w:rsid w:val="007F3F0B"/>
    <w:rsid w:val="008146F6"/>
    <w:rsid w:val="00822439"/>
    <w:rsid w:val="008254D0"/>
    <w:rsid w:val="008262CD"/>
    <w:rsid w:val="00832C9A"/>
    <w:rsid w:val="00837DDD"/>
    <w:rsid w:val="00852E27"/>
    <w:rsid w:val="00854FE1"/>
    <w:rsid w:val="00857F7B"/>
    <w:rsid w:val="00875B2D"/>
    <w:rsid w:val="008A3D65"/>
    <w:rsid w:val="008C25A7"/>
    <w:rsid w:val="008C3BDB"/>
    <w:rsid w:val="008C6398"/>
    <w:rsid w:val="008D22AA"/>
    <w:rsid w:val="008D24C0"/>
    <w:rsid w:val="008E24D9"/>
    <w:rsid w:val="0091003B"/>
    <w:rsid w:val="0091456C"/>
    <w:rsid w:val="00917D6D"/>
    <w:rsid w:val="009429A2"/>
    <w:rsid w:val="009519B2"/>
    <w:rsid w:val="00960FB8"/>
    <w:rsid w:val="00970819"/>
    <w:rsid w:val="00970B40"/>
    <w:rsid w:val="00981565"/>
    <w:rsid w:val="0098361F"/>
    <w:rsid w:val="009933E8"/>
    <w:rsid w:val="009A1198"/>
    <w:rsid w:val="009A2285"/>
    <w:rsid w:val="009B04C5"/>
    <w:rsid w:val="009B1A0D"/>
    <w:rsid w:val="009B31FF"/>
    <w:rsid w:val="009B590E"/>
    <w:rsid w:val="009B5B15"/>
    <w:rsid w:val="009D6C14"/>
    <w:rsid w:val="009E249A"/>
    <w:rsid w:val="009E292A"/>
    <w:rsid w:val="009E3776"/>
    <w:rsid w:val="009F2E6D"/>
    <w:rsid w:val="009F6630"/>
    <w:rsid w:val="00A058F0"/>
    <w:rsid w:val="00A13743"/>
    <w:rsid w:val="00A31002"/>
    <w:rsid w:val="00A40630"/>
    <w:rsid w:val="00A447DF"/>
    <w:rsid w:val="00A452E4"/>
    <w:rsid w:val="00A45B5E"/>
    <w:rsid w:val="00A77D80"/>
    <w:rsid w:val="00A81A28"/>
    <w:rsid w:val="00A84B40"/>
    <w:rsid w:val="00A910BB"/>
    <w:rsid w:val="00A91FB1"/>
    <w:rsid w:val="00AB1BF2"/>
    <w:rsid w:val="00AB5327"/>
    <w:rsid w:val="00AB67F3"/>
    <w:rsid w:val="00AC25A1"/>
    <w:rsid w:val="00AC43C6"/>
    <w:rsid w:val="00AC6C58"/>
    <w:rsid w:val="00AE226B"/>
    <w:rsid w:val="00AE35D4"/>
    <w:rsid w:val="00AE4A4F"/>
    <w:rsid w:val="00AE5EE3"/>
    <w:rsid w:val="00B17EDA"/>
    <w:rsid w:val="00B24D1F"/>
    <w:rsid w:val="00B27F97"/>
    <w:rsid w:val="00B33B20"/>
    <w:rsid w:val="00B40245"/>
    <w:rsid w:val="00B4090D"/>
    <w:rsid w:val="00B4309D"/>
    <w:rsid w:val="00B5150D"/>
    <w:rsid w:val="00B55CC9"/>
    <w:rsid w:val="00B56CBD"/>
    <w:rsid w:val="00B7204A"/>
    <w:rsid w:val="00B761AF"/>
    <w:rsid w:val="00B902B5"/>
    <w:rsid w:val="00BA43D7"/>
    <w:rsid w:val="00BA714B"/>
    <w:rsid w:val="00BB3073"/>
    <w:rsid w:val="00BD06DF"/>
    <w:rsid w:val="00BD2FD6"/>
    <w:rsid w:val="00BD593E"/>
    <w:rsid w:val="00C006F3"/>
    <w:rsid w:val="00C01AA3"/>
    <w:rsid w:val="00C17EEC"/>
    <w:rsid w:val="00C45976"/>
    <w:rsid w:val="00C60A43"/>
    <w:rsid w:val="00C61C60"/>
    <w:rsid w:val="00C67C53"/>
    <w:rsid w:val="00CA3EB1"/>
    <w:rsid w:val="00CC68C1"/>
    <w:rsid w:val="00CD0399"/>
    <w:rsid w:val="00CD5240"/>
    <w:rsid w:val="00D030A1"/>
    <w:rsid w:val="00D039FB"/>
    <w:rsid w:val="00D10E9E"/>
    <w:rsid w:val="00D20CC8"/>
    <w:rsid w:val="00D21CAE"/>
    <w:rsid w:val="00D2708F"/>
    <w:rsid w:val="00D349E1"/>
    <w:rsid w:val="00D415D5"/>
    <w:rsid w:val="00D41756"/>
    <w:rsid w:val="00D4765F"/>
    <w:rsid w:val="00D47686"/>
    <w:rsid w:val="00D72532"/>
    <w:rsid w:val="00D901CC"/>
    <w:rsid w:val="00D928A2"/>
    <w:rsid w:val="00D938FC"/>
    <w:rsid w:val="00D947DF"/>
    <w:rsid w:val="00D97EEC"/>
    <w:rsid w:val="00DA666D"/>
    <w:rsid w:val="00DB0A42"/>
    <w:rsid w:val="00DB0ED3"/>
    <w:rsid w:val="00DB3422"/>
    <w:rsid w:val="00DF5EDA"/>
    <w:rsid w:val="00E0553E"/>
    <w:rsid w:val="00E16A02"/>
    <w:rsid w:val="00E3363A"/>
    <w:rsid w:val="00EA5334"/>
    <w:rsid w:val="00F038D2"/>
    <w:rsid w:val="00F32C04"/>
    <w:rsid w:val="00F41DEC"/>
    <w:rsid w:val="00F426DE"/>
    <w:rsid w:val="00F857B0"/>
    <w:rsid w:val="00F874B3"/>
    <w:rsid w:val="00FB4CD4"/>
    <w:rsid w:val="00FB5B4D"/>
    <w:rsid w:val="00FC6DB2"/>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5:docId w15:val="{89F4CA3A-AD85-064F-A388-32A603DC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pf.de" TargetMode="External"/><Relationship Id="rId2" Type="http://schemas.openxmlformats.org/officeDocument/2006/relationships/numbering" Target="numbering.xml"/><Relationship Id="rId16" Type="http://schemas.openxmlformats.org/officeDocument/2006/relationships/hyperlink" Target="mailto:info@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inusmenne1/Library/Group%20Containers/UBF8T346G9.Office/User%20Content.localized/Templates.localized/IPF-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74A8-B15F-5342-83B2-C6AA7E8B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IPF-Presseinfo.dotx</Template>
  <TotalTime>0</TotalTime>
  <Pages>2</Pages>
  <Words>533</Words>
  <Characters>3734</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4250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2018-03-29T07:44:00Z</cp:lastPrinted>
  <dcterms:created xsi:type="dcterms:W3CDTF">2019-06-17T07:23:00Z</dcterms:created>
  <dcterms:modified xsi:type="dcterms:W3CDTF">2019-06-17T07:50:00Z</dcterms:modified>
</cp:coreProperties>
</file>