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1D76DBBA" w14:textId="77777777" w:rsidR="00226AE5" w:rsidRDefault="00226AE5" w:rsidP="000E0485">
      <w:pPr>
        <w:rPr>
          <w:rFonts w:asciiTheme="minorHAnsi" w:hAnsiTheme="minorHAnsi" w:cstheme="minorHAnsi"/>
          <w:b/>
          <w:bCs/>
          <w:i/>
          <w:iCs/>
          <w:color w:val="FF0000"/>
          <w:sz w:val="21"/>
          <w:szCs w:val="21"/>
          <w:lang w:val="en-US"/>
        </w:rPr>
      </w:pPr>
      <w:r w:rsidRPr="00226AE5">
        <w:rPr>
          <w:rFonts w:asciiTheme="minorHAnsi" w:hAnsiTheme="minorHAnsi" w:cstheme="minorHAnsi"/>
          <w:b/>
          <w:bCs/>
          <w:i/>
          <w:iCs/>
          <w:color w:val="FF0000"/>
          <w:sz w:val="21"/>
          <w:szCs w:val="21"/>
          <w:lang w:val="en-US"/>
        </w:rPr>
        <w:t>Precise consumption data and cost savings</w:t>
      </w:r>
    </w:p>
    <w:p w14:paraId="2C8247FC" w14:textId="3282403A" w:rsidR="000E0485" w:rsidRDefault="00226AE5" w:rsidP="000E0485">
      <w:pPr>
        <w:rPr>
          <w:rFonts w:asciiTheme="minorHAnsi" w:hAnsiTheme="minorHAnsi" w:cstheme="minorHAnsi"/>
          <w:i/>
          <w:iCs/>
          <w:sz w:val="21"/>
          <w:szCs w:val="21"/>
          <w:lang w:val="en-US"/>
        </w:rPr>
      </w:pPr>
      <w:r w:rsidRPr="00226AE5">
        <w:rPr>
          <w:rFonts w:asciiTheme="minorHAnsi" w:hAnsiTheme="minorHAnsi" w:cstheme="minorHAnsi"/>
          <w:i/>
          <w:iCs/>
          <w:sz w:val="21"/>
          <w:szCs w:val="21"/>
          <w:lang w:val="en-US"/>
        </w:rPr>
        <w:t>New active energy meters from IPF</w:t>
      </w:r>
    </w:p>
    <w:p w14:paraId="3285268A" w14:textId="77777777" w:rsidR="00226AE5" w:rsidRPr="000E0485" w:rsidRDefault="00226AE5" w:rsidP="000E0485">
      <w:pPr>
        <w:rPr>
          <w:rFonts w:asciiTheme="minorHAnsi" w:hAnsiTheme="minorHAnsi" w:cstheme="minorHAnsi"/>
          <w:sz w:val="18"/>
          <w:szCs w:val="18"/>
          <w:lang w:val="en-US"/>
        </w:rPr>
      </w:pPr>
    </w:p>
    <w:p w14:paraId="28150B9B" w14:textId="60A16B25" w:rsidR="000E0485" w:rsidRDefault="00226AE5" w:rsidP="00226AE5">
      <w:pPr>
        <w:jc w:val="both"/>
        <w:rPr>
          <w:rFonts w:asciiTheme="minorHAnsi" w:hAnsiTheme="minorHAnsi" w:cstheme="minorHAnsi"/>
          <w:sz w:val="18"/>
          <w:szCs w:val="18"/>
          <w:lang w:val="en-US"/>
        </w:rPr>
      </w:pPr>
      <w:r w:rsidRPr="00226AE5">
        <w:rPr>
          <w:rFonts w:asciiTheme="minorHAnsi" w:hAnsiTheme="minorHAnsi" w:cstheme="minorHAnsi"/>
          <w:sz w:val="18"/>
          <w:szCs w:val="18"/>
          <w:lang w:val="en-US"/>
        </w:rPr>
        <w:t xml:space="preserve">With the </w:t>
      </w:r>
      <w:r w:rsidRPr="00226AE5">
        <w:rPr>
          <w:rFonts w:asciiTheme="minorHAnsi" w:hAnsiTheme="minorHAnsi" w:cstheme="minorHAnsi"/>
          <w:b/>
          <w:bCs/>
          <w:sz w:val="18"/>
          <w:szCs w:val="18"/>
          <w:lang w:val="en-US"/>
        </w:rPr>
        <w:t>CS72</w:t>
      </w:r>
      <w:r w:rsidRPr="00226AE5">
        <w:rPr>
          <w:rFonts w:asciiTheme="minorHAnsi" w:hAnsiTheme="minorHAnsi" w:cstheme="minorHAnsi"/>
          <w:sz w:val="18"/>
          <w:szCs w:val="18"/>
          <w:lang w:val="en-US"/>
        </w:rPr>
        <w:t>-series, IPF provides modular, three-phase active energy meters of accuracy class B for direct connection of up to 100A (</w:t>
      </w:r>
      <w:r w:rsidRPr="00226AE5">
        <w:rPr>
          <w:rFonts w:asciiTheme="minorHAnsi" w:hAnsiTheme="minorHAnsi" w:cstheme="minorHAnsi"/>
          <w:b/>
          <w:bCs/>
          <w:sz w:val="18"/>
          <w:szCs w:val="18"/>
          <w:lang w:val="en-US"/>
        </w:rPr>
        <w:t>CS720001</w:t>
      </w:r>
      <w:r w:rsidRPr="00226AE5">
        <w:rPr>
          <w:rFonts w:asciiTheme="minorHAnsi" w:hAnsiTheme="minorHAnsi" w:cstheme="minorHAnsi"/>
          <w:sz w:val="18"/>
          <w:szCs w:val="18"/>
          <w:lang w:val="en-US"/>
        </w:rPr>
        <w:t xml:space="preserve"> - 320-480V AC) or up to 80A (</w:t>
      </w:r>
      <w:r w:rsidRPr="00226AE5">
        <w:rPr>
          <w:rFonts w:asciiTheme="minorHAnsi" w:hAnsiTheme="minorHAnsi" w:cstheme="minorHAnsi"/>
          <w:b/>
          <w:bCs/>
          <w:sz w:val="18"/>
          <w:szCs w:val="18"/>
          <w:lang w:val="en-US"/>
        </w:rPr>
        <w:t>CS720002</w:t>
      </w:r>
      <w:r w:rsidRPr="00226AE5">
        <w:rPr>
          <w:rFonts w:asciiTheme="minorHAnsi" w:hAnsiTheme="minorHAnsi" w:cstheme="minorHAnsi"/>
          <w:sz w:val="18"/>
          <w:szCs w:val="18"/>
          <w:lang w:val="en-US"/>
        </w:rPr>
        <w:t xml:space="preserve"> - 400V AC). The </w:t>
      </w:r>
      <w:r w:rsidRPr="00226AE5">
        <w:rPr>
          <w:rFonts w:asciiTheme="minorHAnsi" w:hAnsiTheme="minorHAnsi" w:cstheme="minorHAnsi"/>
          <w:b/>
          <w:bCs/>
          <w:sz w:val="18"/>
          <w:szCs w:val="18"/>
          <w:lang w:val="en-US"/>
        </w:rPr>
        <w:t>CS720001</w:t>
      </w:r>
      <w:r w:rsidRPr="00226AE5">
        <w:rPr>
          <w:rFonts w:asciiTheme="minorHAnsi" w:hAnsiTheme="minorHAnsi" w:cstheme="minorHAnsi"/>
          <w:sz w:val="18"/>
          <w:szCs w:val="18"/>
          <w:lang w:val="en-US"/>
        </w:rPr>
        <w:t xml:space="preserve"> integrates an RS485 interface with Modbus RTU protocol. The </w:t>
      </w:r>
      <w:r w:rsidRPr="00226AE5">
        <w:rPr>
          <w:rFonts w:asciiTheme="minorHAnsi" w:hAnsiTheme="minorHAnsi" w:cstheme="minorHAnsi"/>
          <w:b/>
          <w:bCs/>
          <w:sz w:val="18"/>
          <w:szCs w:val="18"/>
          <w:lang w:val="en-US"/>
        </w:rPr>
        <w:t>CS720002</w:t>
      </w:r>
      <w:r w:rsidRPr="00226AE5">
        <w:rPr>
          <w:rFonts w:asciiTheme="minorHAnsi" w:hAnsiTheme="minorHAnsi" w:cstheme="minorHAnsi"/>
          <w:sz w:val="18"/>
          <w:szCs w:val="18"/>
          <w:lang w:val="en-US"/>
        </w:rPr>
        <w:t xml:space="preserve"> has an Ethernet interface instead.</w:t>
      </w:r>
    </w:p>
    <w:p w14:paraId="06F41407" w14:textId="77777777" w:rsidR="00226AE5" w:rsidRDefault="00226AE5" w:rsidP="00226AE5">
      <w:pPr>
        <w:jc w:val="both"/>
        <w:rPr>
          <w:rFonts w:asciiTheme="minorHAnsi" w:hAnsiTheme="minorHAnsi" w:cstheme="minorHAnsi"/>
          <w:sz w:val="18"/>
          <w:szCs w:val="18"/>
          <w:lang w:val="en-US"/>
        </w:rPr>
      </w:pPr>
    </w:p>
    <w:p w14:paraId="0C395968" w14:textId="05F0D454" w:rsidR="00226AE5" w:rsidRDefault="00226AE5" w:rsidP="00226AE5">
      <w:pPr>
        <w:jc w:val="both"/>
        <w:rPr>
          <w:rFonts w:asciiTheme="minorHAnsi" w:hAnsiTheme="minorHAnsi" w:cstheme="minorHAnsi"/>
          <w:sz w:val="18"/>
          <w:szCs w:val="18"/>
          <w:lang w:val="en-US"/>
        </w:rPr>
      </w:pPr>
      <w:r w:rsidRPr="00226AE5">
        <w:rPr>
          <w:rFonts w:asciiTheme="minorHAnsi" w:hAnsiTheme="minorHAnsi" w:cstheme="minorHAnsi"/>
          <w:sz w:val="18"/>
          <w:szCs w:val="18"/>
          <w:lang w:val="en-US"/>
        </w:rPr>
        <w:t>Both counters have a backlit LCD display that shows the active energy (i.e. the actual electrical energy used), the reactive energy and other measured values. As the measuring instruments are MID-certified, they are also suitable for consumption billing.</w:t>
      </w:r>
    </w:p>
    <w:p w14:paraId="598D5B85" w14:textId="77777777" w:rsidR="00226AE5" w:rsidRDefault="00226AE5" w:rsidP="00226AE5">
      <w:pPr>
        <w:jc w:val="both"/>
        <w:rPr>
          <w:rFonts w:asciiTheme="minorHAnsi" w:hAnsiTheme="minorHAnsi" w:cstheme="minorHAnsi"/>
          <w:sz w:val="18"/>
          <w:szCs w:val="18"/>
          <w:lang w:val="en-US"/>
        </w:rPr>
      </w:pPr>
    </w:p>
    <w:p w14:paraId="642D69D6" w14:textId="58C622A9" w:rsidR="00226AE5" w:rsidRDefault="00226AE5" w:rsidP="00226AE5">
      <w:pPr>
        <w:jc w:val="both"/>
        <w:rPr>
          <w:rFonts w:asciiTheme="minorHAnsi" w:hAnsiTheme="minorHAnsi" w:cstheme="minorHAnsi"/>
          <w:sz w:val="18"/>
          <w:szCs w:val="18"/>
          <w:lang w:val="en-US"/>
        </w:rPr>
      </w:pPr>
      <w:r w:rsidRPr="00226AE5">
        <w:rPr>
          <w:rFonts w:asciiTheme="minorHAnsi" w:hAnsiTheme="minorHAnsi" w:cstheme="minorHAnsi"/>
          <w:sz w:val="18"/>
          <w:szCs w:val="18"/>
          <w:lang w:val="en-US"/>
        </w:rPr>
        <w:t xml:space="preserve">The new devices are an ideal addition to IPF's energy monitoring portfolio, which includes the </w:t>
      </w:r>
      <w:proofErr w:type="spellStart"/>
      <w:r w:rsidRPr="00226AE5">
        <w:rPr>
          <w:rFonts w:asciiTheme="minorHAnsi" w:hAnsiTheme="minorHAnsi" w:cstheme="minorHAnsi"/>
          <w:sz w:val="18"/>
          <w:szCs w:val="18"/>
          <w:lang w:val="en-US"/>
        </w:rPr>
        <w:t>IIoT</w:t>
      </w:r>
      <w:proofErr w:type="spellEnd"/>
      <w:r w:rsidRPr="00226AE5">
        <w:rPr>
          <w:rFonts w:asciiTheme="minorHAnsi" w:hAnsiTheme="minorHAnsi" w:cstheme="minorHAnsi"/>
          <w:sz w:val="18"/>
          <w:szCs w:val="18"/>
          <w:lang w:val="en-US"/>
        </w:rPr>
        <w:t xml:space="preserve"> gateway </w:t>
      </w:r>
      <w:r w:rsidRPr="00226AE5">
        <w:rPr>
          <w:rFonts w:asciiTheme="minorHAnsi" w:hAnsiTheme="minorHAnsi" w:cstheme="minorHAnsi"/>
          <w:b/>
          <w:bCs/>
          <w:sz w:val="18"/>
          <w:szCs w:val="18"/>
          <w:lang w:val="en-US"/>
        </w:rPr>
        <w:t>BY000002</w:t>
      </w:r>
      <w:r w:rsidRPr="00226AE5">
        <w:rPr>
          <w:rFonts w:asciiTheme="minorHAnsi" w:hAnsiTheme="minorHAnsi" w:cstheme="minorHAnsi"/>
          <w:sz w:val="18"/>
          <w:szCs w:val="18"/>
          <w:lang w:val="en-US"/>
        </w:rPr>
        <w:t xml:space="preserve"> and free software provide the crucial basis for the simple recording, visualization and evaluation of consumption data </w:t>
      </w:r>
      <w:proofErr w:type="gramStart"/>
      <w:r w:rsidRPr="00226AE5">
        <w:rPr>
          <w:rFonts w:asciiTheme="minorHAnsi" w:hAnsiTheme="minorHAnsi" w:cstheme="minorHAnsi"/>
          <w:sz w:val="18"/>
          <w:szCs w:val="18"/>
          <w:lang w:val="en-US"/>
        </w:rPr>
        <w:t>in order to</w:t>
      </w:r>
      <w:proofErr w:type="gramEnd"/>
      <w:r w:rsidRPr="00226AE5">
        <w:rPr>
          <w:rFonts w:asciiTheme="minorHAnsi" w:hAnsiTheme="minorHAnsi" w:cstheme="minorHAnsi"/>
          <w:sz w:val="18"/>
          <w:szCs w:val="18"/>
          <w:lang w:val="en-US"/>
        </w:rPr>
        <w:t xml:space="preserve"> leverage a wide range of potential cost savings. And without high initial investment, costly </w:t>
      </w:r>
      <w:proofErr w:type="gramStart"/>
      <w:r w:rsidRPr="00226AE5">
        <w:rPr>
          <w:rFonts w:asciiTheme="minorHAnsi" w:hAnsiTheme="minorHAnsi" w:cstheme="minorHAnsi"/>
          <w:sz w:val="18"/>
          <w:szCs w:val="18"/>
          <w:lang w:val="en-US"/>
        </w:rPr>
        <w:t>conversions</w:t>
      </w:r>
      <w:proofErr w:type="gramEnd"/>
      <w:r w:rsidRPr="00226AE5">
        <w:rPr>
          <w:rFonts w:asciiTheme="minorHAnsi" w:hAnsiTheme="minorHAnsi" w:cstheme="minorHAnsi"/>
          <w:sz w:val="18"/>
          <w:szCs w:val="18"/>
          <w:lang w:val="en-US"/>
        </w:rPr>
        <w:t xml:space="preserve"> or follow-up costs.</w:t>
      </w:r>
    </w:p>
    <w:p w14:paraId="7D8600DC" w14:textId="77777777" w:rsidR="00226AE5" w:rsidRDefault="00226AE5" w:rsidP="00226AE5">
      <w:pPr>
        <w:jc w:val="both"/>
        <w:rPr>
          <w:rFonts w:asciiTheme="minorHAnsi" w:hAnsiTheme="minorHAnsi" w:cstheme="minorHAnsi"/>
          <w:sz w:val="18"/>
          <w:szCs w:val="18"/>
          <w:lang w:val="en-US"/>
        </w:rPr>
      </w:pPr>
    </w:p>
    <w:p w14:paraId="420B60EB" w14:textId="5B1E7471" w:rsidR="00226AE5" w:rsidRDefault="00226AE5" w:rsidP="00226AE5">
      <w:pPr>
        <w:jc w:val="both"/>
        <w:rPr>
          <w:rFonts w:asciiTheme="minorHAnsi" w:hAnsiTheme="minorHAnsi" w:cstheme="minorHAnsi"/>
          <w:sz w:val="18"/>
          <w:szCs w:val="18"/>
          <w:lang w:val="en-US"/>
        </w:rPr>
      </w:pPr>
      <w:r w:rsidRPr="00226AE5">
        <w:rPr>
          <w:rFonts w:asciiTheme="minorHAnsi" w:hAnsiTheme="minorHAnsi" w:cstheme="minorHAnsi"/>
          <w:sz w:val="18"/>
          <w:szCs w:val="18"/>
          <w:lang w:val="en-US"/>
        </w:rPr>
        <w:t xml:space="preserve">In this context, the active energy meters offer an option for direct connection to a gateway instead of using current transformers and energy measurement modules from IPF for energy monitoring. The compact active energy meters (width 4HP) are integrated into the feed line of the relevant loads (terminal connection) and connected to the gateway via RS458 (Modbus RTU) or Ethernet. The gateway then continuously records the measurement data from the active energy meters. The data can then be visualized on any PC using </w:t>
      </w:r>
      <w:proofErr w:type="gramStart"/>
      <w:r w:rsidRPr="00226AE5">
        <w:rPr>
          <w:rFonts w:asciiTheme="minorHAnsi" w:hAnsiTheme="minorHAnsi" w:cstheme="minorHAnsi"/>
          <w:sz w:val="18"/>
          <w:szCs w:val="18"/>
          <w:lang w:val="en-US"/>
        </w:rPr>
        <w:t>the browser</w:t>
      </w:r>
      <w:proofErr w:type="gramEnd"/>
      <w:r w:rsidRPr="00226AE5">
        <w:rPr>
          <w:rFonts w:asciiTheme="minorHAnsi" w:hAnsiTheme="minorHAnsi" w:cstheme="minorHAnsi"/>
          <w:sz w:val="18"/>
          <w:szCs w:val="18"/>
          <w:lang w:val="en-US"/>
        </w:rPr>
        <w:t>-based software. The individually configurable web client dashboard provides a wide range of display options for data analysis, evaluation and further processing.</w:t>
      </w:r>
    </w:p>
    <w:p w14:paraId="482CC7FF" w14:textId="77777777" w:rsidR="00226AE5" w:rsidRDefault="00226AE5" w:rsidP="000E0485">
      <w:pPr>
        <w:rPr>
          <w:rFonts w:asciiTheme="minorHAnsi" w:hAnsiTheme="minorHAnsi" w:cstheme="minorHAnsi"/>
          <w:sz w:val="18"/>
          <w:szCs w:val="18"/>
          <w:lang w:val="en-US"/>
        </w:rPr>
      </w:pPr>
    </w:p>
    <w:p w14:paraId="0C59E8F7" w14:textId="77777777" w:rsidR="00226AE5" w:rsidRPr="000E0485" w:rsidRDefault="00226AE5" w:rsidP="000E0485">
      <w:pPr>
        <w:rPr>
          <w:rFonts w:asciiTheme="minorHAnsi" w:hAnsiTheme="minorHAnsi" w:cstheme="minorHAnsi"/>
          <w:sz w:val="18"/>
          <w:szCs w:val="18"/>
          <w:lang w:val="en-US"/>
        </w:rPr>
      </w:pPr>
    </w:p>
    <w:p w14:paraId="4B9E5AA4" w14:textId="5FD4D185" w:rsidR="000E0485" w:rsidRDefault="00226AE5" w:rsidP="000E0485">
      <w:pPr>
        <w:rPr>
          <w:rFonts w:asciiTheme="minorHAnsi" w:hAnsiTheme="minorHAnsi" w:cstheme="minorHAnsi"/>
          <w:i/>
          <w:iCs/>
          <w:sz w:val="18"/>
          <w:szCs w:val="18"/>
        </w:rPr>
      </w:pPr>
      <w:r>
        <w:rPr>
          <w:rFonts w:asciiTheme="minorHAnsi" w:hAnsiTheme="minorHAnsi" w:cstheme="minorHAnsi"/>
          <w:noProof/>
          <w:sz w:val="18"/>
          <w:szCs w:val="18"/>
        </w:rPr>
        <w:drawing>
          <wp:inline distT="0" distB="0" distL="0" distR="0" wp14:anchorId="75CDB7F6" wp14:editId="701749F5">
            <wp:extent cx="5107093" cy="3610747"/>
            <wp:effectExtent l="12700" t="12700" r="11430" b="8890"/>
            <wp:docPr id="1727887299" name="Grafik 1" descr="Ein Bild, das Text, Elektronik, Uh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87299" name="Grafik 1" descr="Ein Bild, das Text, Elektronik, Uhr enthält.&#10;&#10;KI-generierte Inhalte können fehlerhaft sein."/>
                    <pic:cNvPicPr/>
                  </pic:nvPicPr>
                  <pic:blipFill>
                    <a:blip r:embed="rId13"/>
                    <a:stretch>
                      <a:fillRect/>
                    </a:stretch>
                  </pic:blipFill>
                  <pic:spPr>
                    <a:xfrm>
                      <a:off x="0" y="0"/>
                      <a:ext cx="5137638" cy="3632342"/>
                    </a:xfrm>
                    <a:prstGeom prst="rect">
                      <a:avLst/>
                    </a:prstGeom>
                    <a:ln w="3175">
                      <a:solidFill>
                        <a:schemeClr val="tx1"/>
                      </a:solidFill>
                    </a:ln>
                  </pic:spPr>
                </pic:pic>
              </a:graphicData>
            </a:graphic>
          </wp:inline>
        </w:drawing>
      </w:r>
    </w:p>
    <w:p w14:paraId="48E6454C" w14:textId="77777777" w:rsidR="00226AE5" w:rsidRPr="00226AE5" w:rsidRDefault="000E0485" w:rsidP="00226AE5">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226AE5" w:rsidRPr="00226AE5">
        <w:rPr>
          <w:rFonts w:asciiTheme="minorHAnsi" w:hAnsiTheme="minorHAnsi" w:cstheme="minorHAnsi"/>
          <w:sz w:val="18"/>
          <w:szCs w:val="18"/>
          <w:lang w:val="en-US"/>
        </w:rPr>
        <w:t xml:space="preserve">The new active energy meters from IPF (left: </w:t>
      </w:r>
      <w:r w:rsidR="00226AE5" w:rsidRPr="00226AE5">
        <w:rPr>
          <w:rFonts w:asciiTheme="minorHAnsi" w:hAnsiTheme="minorHAnsi" w:cstheme="minorHAnsi"/>
          <w:b/>
          <w:bCs/>
          <w:sz w:val="18"/>
          <w:szCs w:val="18"/>
          <w:lang w:val="en-US"/>
        </w:rPr>
        <w:t>CS720001</w:t>
      </w:r>
      <w:r w:rsidR="00226AE5" w:rsidRPr="00226AE5">
        <w:rPr>
          <w:rFonts w:asciiTheme="minorHAnsi" w:hAnsiTheme="minorHAnsi" w:cstheme="minorHAnsi"/>
          <w:sz w:val="18"/>
          <w:szCs w:val="18"/>
          <w:lang w:val="en-US"/>
        </w:rPr>
        <w:t xml:space="preserve">, right: </w:t>
      </w:r>
      <w:r w:rsidR="00226AE5" w:rsidRPr="00226AE5">
        <w:rPr>
          <w:rFonts w:asciiTheme="minorHAnsi" w:hAnsiTheme="minorHAnsi" w:cstheme="minorHAnsi"/>
          <w:b/>
          <w:bCs/>
          <w:sz w:val="18"/>
          <w:szCs w:val="18"/>
          <w:lang w:val="en-US"/>
        </w:rPr>
        <w:t>CS720002</w:t>
      </w:r>
      <w:r w:rsidR="00226AE5" w:rsidRPr="00226AE5">
        <w:rPr>
          <w:rFonts w:asciiTheme="minorHAnsi" w:hAnsiTheme="minorHAnsi" w:cstheme="minorHAnsi"/>
          <w:sz w:val="18"/>
          <w:szCs w:val="18"/>
          <w:lang w:val="en-US"/>
        </w:rPr>
        <w:t>) offer another option for targeted energy</w:t>
      </w:r>
    </w:p>
    <w:p w14:paraId="17EDE326" w14:textId="6CF72709" w:rsidR="00226AE5" w:rsidRDefault="00226AE5" w:rsidP="00226AE5">
      <w:pPr>
        <w:rPr>
          <w:rFonts w:asciiTheme="minorHAnsi" w:hAnsiTheme="minorHAnsi" w:cstheme="minorHAnsi"/>
          <w:sz w:val="18"/>
          <w:szCs w:val="18"/>
          <w:lang w:val="en-US"/>
        </w:rPr>
      </w:pPr>
      <w:r w:rsidRPr="00226AE5">
        <w:rPr>
          <w:rFonts w:asciiTheme="minorHAnsi" w:hAnsiTheme="minorHAnsi" w:cstheme="minorHAnsi"/>
          <w:sz w:val="18"/>
          <w:szCs w:val="18"/>
          <w:lang w:val="en-US"/>
        </w:rPr>
        <w:t>possibility for targeted energy monitoring based on specific measured values</w:t>
      </w:r>
      <w:r>
        <w:rPr>
          <w:rFonts w:asciiTheme="minorHAnsi" w:hAnsiTheme="minorHAnsi" w:cstheme="minorHAnsi"/>
          <w:sz w:val="18"/>
          <w:szCs w:val="18"/>
          <w:lang w:val="en-US"/>
        </w:rPr>
        <w:t>.</w:t>
      </w:r>
    </w:p>
    <w:p w14:paraId="32A8F357" w14:textId="4C55F03B" w:rsidR="000E0485" w:rsidRPr="000E0485" w:rsidRDefault="000E0485" w:rsidP="00226AE5">
      <w:pPr>
        <w:rPr>
          <w:rFonts w:asciiTheme="minorHAnsi" w:hAnsiTheme="minorHAnsi" w:cstheme="minorHAnsi"/>
          <w:sz w:val="18"/>
          <w:szCs w:val="18"/>
          <w:lang w:val="en-US"/>
        </w:rPr>
      </w:pPr>
      <w:r w:rsidRPr="000E0485">
        <w:rPr>
          <w:rFonts w:asciiTheme="minorHAnsi" w:hAnsiTheme="minorHAnsi" w:cstheme="minorHAnsi"/>
          <w:sz w:val="18"/>
          <w:szCs w:val="18"/>
          <w:lang w:val="en-US"/>
        </w:rPr>
        <w:t>(All images: ipf electronic gmbh)</w:t>
      </w:r>
    </w:p>
    <w:p w14:paraId="743CB6F2" w14:textId="77777777" w:rsidR="000E0485" w:rsidRPr="000E0485" w:rsidRDefault="000E0485" w:rsidP="000E0485">
      <w:pPr>
        <w:rPr>
          <w:rFonts w:asciiTheme="minorHAnsi" w:hAnsiTheme="minorHAnsi" w:cstheme="minorHAnsi"/>
          <w:sz w:val="18"/>
          <w:szCs w:val="18"/>
          <w:lang w:val="en-US"/>
        </w:rPr>
      </w:pPr>
    </w:p>
    <w:p w14:paraId="58434F4F" w14:textId="0276C5DE" w:rsidR="000E0485" w:rsidRPr="00226AE5" w:rsidRDefault="000E0485" w:rsidP="000E0485">
      <w:pPr>
        <w:rPr>
          <w:rFonts w:asciiTheme="minorHAnsi" w:hAnsiTheme="minorHAnsi" w:cstheme="minorHAnsi"/>
          <w:sz w:val="18"/>
          <w:szCs w:val="18"/>
          <w:lang w:val="en-US"/>
        </w:rPr>
      </w:pPr>
    </w:p>
    <w:p w14:paraId="32A595EA" w14:textId="61E2D776"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226AE5"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6AE5">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 xml:space="preserve">PRESS </w:t>
    </w:r>
    <w:proofErr w:type="gramStart"/>
    <w:r w:rsidR="008140E1" w:rsidRPr="00B84AED">
      <w:rPr>
        <w:rFonts w:asciiTheme="minorHAnsi" w:hAnsiTheme="minorHAnsi"/>
        <w:b/>
        <w:i/>
        <w:color w:val="000000" w:themeColor="text1"/>
        <w:sz w:val="12"/>
        <w:szCs w:val="12"/>
        <w:lang w:val="en-US"/>
      </w:rPr>
      <w:t>RELEASE</w:t>
    </w:r>
    <w:r w:rsidR="008140E1" w:rsidRPr="00B84AED">
      <w:rPr>
        <w:i/>
        <w:color w:val="000000" w:themeColor="text1"/>
        <w:sz w:val="12"/>
        <w:szCs w:val="12"/>
        <w:lang w:val="en-US"/>
      </w:rPr>
      <w:t xml:space="preserve">  Subject</w:t>
    </w:r>
    <w:proofErr w:type="gramEnd"/>
    <w:r w:rsidR="008140E1" w:rsidRPr="00B84AED">
      <w:rPr>
        <w:i/>
        <w:color w:val="000000" w:themeColor="text1"/>
        <w:sz w:val="12"/>
        <w:szCs w:val="12"/>
        <w:lang w:val="en-US"/>
      </w:rPr>
      <w:t xml:space="preserve">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26AE5"/>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1856"/>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2890</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3381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Miozga</cp:lastModifiedBy>
  <cp:revision>2</cp:revision>
  <cp:lastPrinted>2020-08-21T09:25:00Z</cp:lastPrinted>
  <dcterms:created xsi:type="dcterms:W3CDTF">2026-01-15T09:50:00Z</dcterms:created>
  <dcterms:modified xsi:type="dcterms:W3CDTF">2026-01-15T09:50:00Z</dcterms:modified>
</cp:coreProperties>
</file>