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77777777" w:rsidR="00DF5EDA" w:rsidRPr="00CD0399" w:rsidRDefault="00DF5EDA" w:rsidP="007B11D5">
      <w:pPr>
        <w:suppressAutoHyphens/>
        <w:autoSpaceDE w:val="0"/>
        <w:autoSpaceDN w:val="0"/>
        <w:adjustRightInd w:val="0"/>
        <w:ind w:right="-1"/>
        <w:jc w:val="both"/>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2E698305" w14:textId="77777777" w:rsidR="00157BD9" w:rsidRDefault="00157BD9" w:rsidP="000E0485">
      <w:pPr>
        <w:rPr>
          <w:rFonts w:asciiTheme="minorHAnsi" w:hAnsiTheme="minorHAnsi" w:cstheme="minorHAnsi"/>
          <w:b/>
          <w:bCs/>
          <w:i/>
          <w:iCs/>
          <w:color w:val="FF0000"/>
          <w:sz w:val="21"/>
          <w:szCs w:val="21"/>
          <w:lang w:val="en-US"/>
        </w:rPr>
      </w:pPr>
      <w:r w:rsidRPr="00157BD9">
        <w:rPr>
          <w:rFonts w:asciiTheme="minorHAnsi" w:hAnsiTheme="minorHAnsi" w:cstheme="minorHAnsi"/>
          <w:b/>
          <w:bCs/>
          <w:i/>
          <w:iCs/>
          <w:color w:val="FF0000"/>
          <w:sz w:val="21"/>
          <w:szCs w:val="21"/>
          <w:lang w:val="en-US"/>
        </w:rPr>
        <w:t xml:space="preserve">More than two birds with one stone </w:t>
      </w:r>
    </w:p>
    <w:p w14:paraId="2C8247FC" w14:textId="7892AFA7" w:rsidR="000E0485" w:rsidRDefault="00157BD9" w:rsidP="000E0485">
      <w:pPr>
        <w:rPr>
          <w:rFonts w:asciiTheme="minorHAnsi" w:hAnsiTheme="minorHAnsi" w:cstheme="minorHAnsi"/>
          <w:i/>
          <w:iCs/>
          <w:sz w:val="21"/>
          <w:szCs w:val="21"/>
          <w:lang w:val="en-US"/>
        </w:rPr>
      </w:pPr>
      <w:r w:rsidRPr="00157BD9">
        <w:rPr>
          <w:rFonts w:asciiTheme="minorHAnsi" w:hAnsiTheme="minorHAnsi" w:cstheme="minorHAnsi"/>
          <w:i/>
          <w:iCs/>
          <w:sz w:val="21"/>
          <w:szCs w:val="21"/>
          <w:lang w:val="en-US"/>
        </w:rPr>
        <w:t>Multifunctional inductive ring sensors from IPF</w:t>
      </w:r>
    </w:p>
    <w:p w14:paraId="0A421F57" w14:textId="77777777" w:rsidR="00157BD9" w:rsidRPr="000E0485" w:rsidRDefault="00157BD9" w:rsidP="000E0485">
      <w:pPr>
        <w:rPr>
          <w:rFonts w:asciiTheme="minorHAnsi" w:hAnsiTheme="minorHAnsi" w:cstheme="minorHAnsi"/>
          <w:sz w:val="18"/>
          <w:szCs w:val="18"/>
          <w:lang w:val="en-US"/>
        </w:rPr>
      </w:pPr>
    </w:p>
    <w:p w14:paraId="4CD52E1A" w14:textId="18E760BA" w:rsidR="000E0485" w:rsidRDefault="00157BD9" w:rsidP="00157BD9">
      <w:pPr>
        <w:jc w:val="both"/>
        <w:rPr>
          <w:rFonts w:asciiTheme="minorHAnsi" w:hAnsiTheme="minorHAnsi" w:cstheme="minorHAnsi"/>
          <w:sz w:val="18"/>
          <w:szCs w:val="18"/>
          <w:lang w:val="en-US"/>
        </w:rPr>
      </w:pPr>
      <w:r w:rsidRPr="00157BD9">
        <w:rPr>
          <w:rFonts w:asciiTheme="minorHAnsi" w:hAnsiTheme="minorHAnsi" w:cstheme="minorHAnsi"/>
          <w:sz w:val="18"/>
          <w:szCs w:val="18"/>
          <w:lang w:val="en-US"/>
        </w:rPr>
        <w:t>If you want to reliably recognize metal objects in industry, even under extremely harsh operating conditions, the best solution is to use the wide range of inductive sensors from IPF. But what to do if a small, metallic component ejected from a machine does not hit the detection range of the sensor? The answer is provided by the new multifunctional inductive ring sensors from IPF.</w:t>
      </w:r>
    </w:p>
    <w:p w14:paraId="7E1725CE" w14:textId="77777777" w:rsidR="00157BD9" w:rsidRDefault="00157BD9" w:rsidP="00157BD9">
      <w:pPr>
        <w:jc w:val="both"/>
        <w:rPr>
          <w:rFonts w:asciiTheme="minorHAnsi" w:hAnsiTheme="minorHAnsi" w:cstheme="minorHAnsi"/>
          <w:sz w:val="18"/>
          <w:szCs w:val="18"/>
          <w:lang w:val="en-US"/>
        </w:rPr>
      </w:pPr>
    </w:p>
    <w:p w14:paraId="548A1F91" w14:textId="5A77BAD6" w:rsidR="00157BD9" w:rsidRDefault="00157BD9" w:rsidP="00157BD9">
      <w:pPr>
        <w:jc w:val="both"/>
        <w:rPr>
          <w:rFonts w:asciiTheme="minorHAnsi" w:hAnsiTheme="minorHAnsi" w:cstheme="minorHAnsi"/>
          <w:sz w:val="18"/>
          <w:szCs w:val="18"/>
          <w:lang w:val="en-US"/>
        </w:rPr>
      </w:pPr>
      <w:r w:rsidRPr="00157BD9">
        <w:rPr>
          <w:rFonts w:asciiTheme="minorHAnsi" w:hAnsiTheme="minorHAnsi" w:cstheme="minorHAnsi"/>
          <w:sz w:val="18"/>
          <w:szCs w:val="18"/>
          <w:lang w:val="en-US"/>
        </w:rPr>
        <w:t>The active area of these sensors is located within a ring-shaped opening. If a metal part falls through, the alternating magnetic field of the active surface is damped</w:t>
      </w:r>
      <w:r>
        <w:rPr>
          <w:rFonts w:asciiTheme="minorHAnsi" w:hAnsiTheme="minorHAnsi" w:cstheme="minorHAnsi"/>
          <w:sz w:val="18"/>
          <w:szCs w:val="18"/>
          <w:lang w:val="en-US"/>
        </w:rPr>
        <w:t xml:space="preserve"> </w:t>
      </w:r>
      <w:r w:rsidRPr="00157BD9">
        <w:rPr>
          <w:rFonts w:asciiTheme="minorHAnsi" w:hAnsiTheme="minorHAnsi" w:cstheme="minorHAnsi"/>
          <w:sz w:val="18"/>
          <w:szCs w:val="18"/>
          <w:lang w:val="en-US"/>
        </w:rPr>
        <w:t>and a switching signal is triggered. For example, metallic objects can be passed through a plastic hose that is guided through the opening of the sensor to reliably detect the objects.</w:t>
      </w:r>
    </w:p>
    <w:p w14:paraId="4E54F237" w14:textId="77777777" w:rsidR="00157BD9" w:rsidRDefault="00157BD9" w:rsidP="00157BD9">
      <w:pPr>
        <w:jc w:val="both"/>
        <w:rPr>
          <w:rFonts w:asciiTheme="minorHAnsi" w:hAnsiTheme="minorHAnsi" w:cstheme="minorHAnsi"/>
          <w:sz w:val="18"/>
          <w:szCs w:val="18"/>
          <w:lang w:val="en-US"/>
        </w:rPr>
      </w:pPr>
    </w:p>
    <w:p w14:paraId="585989EF" w14:textId="3EE39538" w:rsidR="00157BD9" w:rsidRDefault="00157BD9" w:rsidP="00157BD9">
      <w:pPr>
        <w:jc w:val="both"/>
        <w:rPr>
          <w:rFonts w:asciiTheme="minorHAnsi" w:hAnsiTheme="minorHAnsi" w:cstheme="minorHAnsi"/>
          <w:sz w:val="18"/>
          <w:szCs w:val="18"/>
          <w:lang w:val="en-US"/>
        </w:rPr>
      </w:pPr>
      <w:r w:rsidRPr="00157BD9">
        <w:rPr>
          <w:rFonts w:asciiTheme="minorHAnsi" w:hAnsiTheme="minorHAnsi" w:cstheme="minorHAnsi"/>
          <w:sz w:val="18"/>
          <w:szCs w:val="18"/>
          <w:lang w:val="en-US"/>
        </w:rPr>
        <w:t>When detecting metallic parts with inductive ring sensors, a general distinction is made between static and dynamic modes of operation. Static: The switching output remains active as long as an object is in the active zone (ideal e.g. for fill level or accumulation monitoring or presence monitoring). Dynamic: A metal part must move, whereby the switching output is set for a certain time when the object is detected until the active zone is free again (ideal e.g. for countering parts). However, separate devices were previously required for these two operational modes.</w:t>
      </w:r>
    </w:p>
    <w:p w14:paraId="29CFFE53" w14:textId="77777777" w:rsidR="00157BD9" w:rsidRDefault="00157BD9" w:rsidP="00157BD9">
      <w:pPr>
        <w:jc w:val="both"/>
        <w:rPr>
          <w:rFonts w:asciiTheme="minorHAnsi" w:hAnsiTheme="minorHAnsi" w:cstheme="minorHAnsi"/>
          <w:sz w:val="18"/>
          <w:szCs w:val="18"/>
          <w:lang w:val="en-US"/>
        </w:rPr>
      </w:pPr>
    </w:p>
    <w:p w14:paraId="17F041C0" w14:textId="18B05187" w:rsidR="00157BD9" w:rsidRDefault="00157BD9" w:rsidP="00157BD9">
      <w:pPr>
        <w:jc w:val="both"/>
        <w:rPr>
          <w:rFonts w:asciiTheme="minorHAnsi" w:hAnsiTheme="minorHAnsi" w:cstheme="minorHAnsi"/>
          <w:sz w:val="18"/>
          <w:szCs w:val="18"/>
          <w:lang w:val="en-US"/>
        </w:rPr>
      </w:pPr>
      <w:r w:rsidRPr="00157BD9">
        <w:rPr>
          <w:rFonts w:asciiTheme="minorHAnsi" w:hAnsiTheme="minorHAnsi" w:cstheme="minorHAnsi"/>
          <w:sz w:val="18"/>
          <w:szCs w:val="18"/>
          <w:lang w:val="en-US"/>
        </w:rPr>
        <w:t>This has now changed with the new family of inductive ring sensors from IPF. With just one device version, teach-in can be used to select not only the sensitivity, but also the desired operational mode (static or dynamic) of the probes and between a normally closed and normally open function for their switching output.</w:t>
      </w:r>
    </w:p>
    <w:p w14:paraId="3F0BB2E1" w14:textId="77777777" w:rsidR="00157BD9" w:rsidRDefault="00157BD9" w:rsidP="00157BD9">
      <w:pPr>
        <w:jc w:val="both"/>
        <w:rPr>
          <w:rFonts w:asciiTheme="minorHAnsi" w:hAnsiTheme="minorHAnsi" w:cstheme="minorHAnsi"/>
          <w:sz w:val="18"/>
          <w:szCs w:val="18"/>
          <w:lang w:val="en-US"/>
        </w:rPr>
      </w:pPr>
    </w:p>
    <w:p w14:paraId="2FDB7851" w14:textId="73F5FD84" w:rsidR="00157BD9" w:rsidRPr="000E0485" w:rsidRDefault="00157BD9" w:rsidP="00157BD9">
      <w:pPr>
        <w:jc w:val="both"/>
        <w:rPr>
          <w:rFonts w:asciiTheme="minorHAnsi" w:hAnsiTheme="minorHAnsi" w:cstheme="minorHAnsi"/>
          <w:sz w:val="18"/>
          <w:szCs w:val="18"/>
          <w:lang w:val="en-US"/>
        </w:rPr>
      </w:pPr>
      <w:r w:rsidRPr="00157BD9">
        <w:rPr>
          <w:rFonts w:asciiTheme="minorHAnsi" w:hAnsiTheme="minorHAnsi" w:cstheme="minorHAnsi"/>
          <w:sz w:val="18"/>
          <w:szCs w:val="18"/>
          <w:lang w:val="en-US"/>
        </w:rPr>
        <w:t>Furthermore, the integrated IO-Link interface enables a whole range of additional, helpful settings, e.g. the choice between different device modes (standard, precision, speed), turn-off delay of the switching output, hysteresis setting between 0 and 20%, single value, two-value or window function for the switching output, additional virtual switching output when operating with an IO-Link-capable control (unit), single-point, two-point or dynamic teaching for each switching output, etc. The additional options available via IO-Link can be used, for example, to determine the drop speed of objects in the detection range of the sensor or to set the detection of metal parts of a specific size or size range, to name just a few practical examples.</w:t>
      </w:r>
    </w:p>
    <w:p w14:paraId="28150B9B" w14:textId="77777777" w:rsidR="000E0485" w:rsidRDefault="000E0485" w:rsidP="00157BD9">
      <w:pPr>
        <w:jc w:val="both"/>
        <w:rPr>
          <w:rFonts w:asciiTheme="minorHAnsi" w:hAnsiTheme="minorHAnsi" w:cstheme="minorHAnsi"/>
          <w:sz w:val="18"/>
          <w:szCs w:val="18"/>
          <w:lang w:val="en-US"/>
        </w:rPr>
      </w:pPr>
    </w:p>
    <w:p w14:paraId="6533023F" w14:textId="109F552F" w:rsidR="00157BD9" w:rsidRDefault="00157BD9" w:rsidP="00157BD9">
      <w:pPr>
        <w:jc w:val="both"/>
        <w:rPr>
          <w:rFonts w:asciiTheme="minorHAnsi" w:hAnsiTheme="minorHAnsi" w:cstheme="minorHAnsi"/>
          <w:sz w:val="18"/>
          <w:szCs w:val="18"/>
          <w:lang w:val="en-US"/>
        </w:rPr>
      </w:pPr>
      <w:r w:rsidRPr="00157BD9">
        <w:rPr>
          <w:rFonts w:asciiTheme="minorHAnsi" w:hAnsiTheme="minorHAnsi" w:cstheme="minorHAnsi"/>
          <w:sz w:val="18"/>
          <w:szCs w:val="18"/>
          <w:lang w:val="en-US"/>
        </w:rPr>
        <w:t>Apart from the housing color (black instead of the previous blue), the new devices are identical in construction to the previous inductive ring sensors from IPF. As the sensitivity can also be adjusted as usual via a potentiometer, there is nothing to stop you replacing previously installed IPF sensors without any problems.</w:t>
      </w:r>
    </w:p>
    <w:p w14:paraId="25687B2E" w14:textId="77777777" w:rsidR="00157BD9" w:rsidRDefault="00157BD9" w:rsidP="00157BD9">
      <w:pPr>
        <w:jc w:val="both"/>
        <w:rPr>
          <w:rFonts w:asciiTheme="minorHAnsi" w:hAnsiTheme="minorHAnsi" w:cstheme="minorHAnsi"/>
          <w:sz w:val="18"/>
          <w:szCs w:val="18"/>
          <w:lang w:val="en-US"/>
        </w:rPr>
      </w:pPr>
    </w:p>
    <w:p w14:paraId="24C9FDDF" w14:textId="127DB393" w:rsidR="00157BD9" w:rsidRDefault="00157BD9" w:rsidP="00157BD9">
      <w:pPr>
        <w:jc w:val="both"/>
        <w:rPr>
          <w:rFonts w:asciiTheme="minorHAnsi" w:hAnsiTheme="minorHAnsi" w:cstheme="minorHAnsi"/>
          <w:sz w:val="18"/>
          <w:szCs w:val="18"/>
          <w:lang w:val="en-US"/>
        </w:rPr>
      </w:pPr>
      <w:r w:rsidRPr="00157BD9">
        <w:rPr>
          <w:rFonts w:asciiTheme="minorHAnsi" w:hAnsiTheme="minorHAnsi" w:cstheme="minorHAnsi"/>
          <w:sz w:val="18"/>
          <w:szCs w:val="18"/>
          <w:lang w:val="en-US"/>
        </w:rPr>
        <w:t xml:space="preserve">The new series is available with ring diameters between 6mm and 50mm. New is the </w:t>
      </w:r>
      <w:r w:rsidRPr="00157BD9">
        <w:rPr>
          <w:rFonts w:asciiTheme="minorHAnsi" w:hAnsiTheme="minorHAnsi" w:cstheme="minorHAnsi"/>
          <w:b/>
          <w:bCs/>
          <w:sz w:val="18"/>
          <w:szCs w:val="18"/>
          <w:lang w:val="en-US"/>
        </w:rPr>
        <w:t>IY300520</w:t>
      </w:r>
      <w:r w:rsidRPr="00157BD9">
        <w:rPr>
          <w:rFonts w:asciiTheme="minorHAnsi" w:hAnsiTheme="minorHAnsi" w:cstheme="minorHAnsi"/>
          <w:sz w:val="18"/>
          <w:szCs w:val="18"/>
          <w:lang w:val="en-US"/>
        </w:rPr>
        <w:t xml:space="preserve">, which closes the gap between the </w:t>
      </w:r>
      <w:r w:rsidRPr="00157BD9">
        <w:rPr>
          <w:rFonts w:asciiTheme="minorHAnsi" w:hAnsiTheme="minorHAnsi" w:cstheme="minorHAnsi"/>
          <w:b/>
          <w:bCs/>
          <w:sz w:val="18"/>
          <w:szCs w:val="18"/>
          <w:lang w:val="en-US"/>
        </w:rPr>
        <w:t>IY250520</w:t>
      </w:r>
      <w:r w:rsidRPr="00157BD9">
        <w:rPr>
          <w:rFonts w:asciiTheme="minorHAnsi" w:hAnsiTheme="minorHAnsi" w:cstheme="minorHAnsi"/>
          <w:sz w:val="18"/>
          <w:szCs w:val="18"/>
          <w:lang w:val="en-US"/>
        </w:rPr>
        <w:t xml:space="preserve"> (Ø 25mm) and the </w:t>
      </w:r>
      <w:r w:rsidRPr="00157BD9">
        <w:rPr>
          <w:rFonts w:asciiTheme="minorHAnsi" w:hAnsiTheme="minorHAnsi" w:cstheme="minorHAnsi"/>
          <w:b/>
          <w:bCs/>
          <w:sz w:val="18"/>
          <w:szCs w:val="18"/>
          <w:lang w:val="en-US"/>
        </w:rPr>
        <w:t>IY350520</w:t>
      </w:r>
      <w:r w:rsidRPr="00157BD9">
        <w:rPr>
          <w:rFonts w:asciiTheme="minorHAnsi" w:hAnsiTheme="minorHAnsi" w:cstheme="minorHAnsi"/>
          <w:sz w:val="18"/>
          <w:szCs w:val="18"/>
          <w:lang w:val="en-US"/>
        </w:rPr>
        <w:t xml:space="preserve"> (Ø 35mm) with a ring diameter of 30mm. The static (</w:t>
      </w:r>
      <w:r w:rsidRPr="00157BD9">
        <w:rPr>
          <w:rFonts w:asciiTheme="minorHAnsi" w:hAnsiTheme="minorHAnsi" w:cstheme="minorHAnsi"/>
          <w:b/>
          <w:bCs/>
          <w:sz w:val="18"/>
          <w:szCs w:val="18"/>
          <w:lang w:val="en-US"/>
        </w:rPr>
        <w:t>IYK00320</w:t>
      </w:r>
      <w:r w:rsidRPr="00157BD9">
        <w:rPr>
          <w:rFonts w:asciiTheme="minorHAnsi" w:hAnsiTheme="minorHAnsi" w:cstheme="minorHAnsi"/>
          <w:sz w:val="18"/>
          <w:szCs w:val="18"/>
          <w:lang w:val="en-US"/>
        </w:rPr>
        <w:t>) and dynamic (</w:t>
      </w:r>
      <w:r w:rsidRPr="00157BD9">
        <w:rPr>
          <w:rFonts w:asciiTheme="minorHAnsi" w:hAnsiTheme="minorHAnsi" w:cstheme="minorHAnsi"/>
          <w:b/>
          <w:bCs/>
          <w:sz w:val="18"/>
          <w:szCs w:val="18"/>
          <w:lang w:val="en-US"/>
        </w:rPr>
        <w:t>IYK00325</w:t>
      </w:r>
      <w:r w:rsidRPr="00157BD9">
        <w:rPr>
          <w:rFonts w:asciiTheme="minorHAnsi" w:hAnsiTheme="minorHAnsi" w:cstheme="minorHAnsi"/>
          <w:sz w:val="18"/>
          <w:szCs w:val="18"/>
          <w:lang w:val="en-US"/>
        </w:rPr>
        <w:t>) versions of the sensors with a ring diameter of 100mm from the previous series remain part of the IPF range.</w:t>
      </w:r>
    </w:p>
    <w:p w14:paraId="3DFFF952" w14:textId="77777777" w:rsidR="00157BD9" w:rsidRPr="000E0485" w:rsidRDefault="00157BD9" w:rsidP="000E0485">
      <w:pPr>
        <w:rPr>
          <w:rFonts w:asciiTheme="minorHAnsi" w:hAnsiTheme="minorHAnsi" w:cstheme="minorHAnsi"/>
          <w:sz w:val="18"/>
          <w:szCs w:val="18"/>
          <w:lang w:val="en-US"/>
        </w:rPr>
      </w:pPr>
    </w:p>
    <w:p w14:paraId="4B9E5AA4" w14:textId="7D77BBF5" w:rsidR="000E0485" w:rsidRDefault="00157BD9" w:rsidP="000E0485">
      <w:pPr>
        <w:rPr>
          <w:rFonts w:asciiTheme="minorHAnsi" w:hAnsiTheme="minorHAnsi" w:cstheme="minorHAnsi"/>
          <w:i/>
          <w:iCs/>
          <w:sz w:val="18"/>
          <w:szCs w:val="18"/>
        </w:rPr>
      </w:pPr>
      <w:r>
        <w:rPr>
          <w:rFonts w:asciiTheme="minorHAnsi" w:hAnsiTheme="minorHAnsi" w:cstheme="minorHAnsi"/>
          <w:noProof/>
          <w:sz w:val="18"/>
          <w:szCs w:val="18"/>
        </w:rPr>
        <w:drawing>
          <wp:inline distT="0" distB="0" distL="0" distR="0" wp14:anchorId="7572981E" wp14:editId="4842A950">
            <wp:extent cx="4187444" cy="2677010"/>
            <wp:effectExtent l="12700" t="12700" r="16510" b="15875"/>
            <wp:docPr id="16289667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966783" name="Grafik 1628966783"/>
                    <pic:cNvPicPr/>
                  </pic:nvPicPr>
                  <pic:blipFill>
                    <a:blip r:embed="rId13"/>
                    <a:stretch>
                      <a:fillRect/>
                    </a:stretch>
                  </pic:blipFill>
                  <pic:spPr>
                    <a:xfrm>
                      <a:off x="0" y="0"/>
                      <a:ext cx="4270995" cy="2730424"/>
                    </a:xfrm>
                    <a:prstGeom prst="rect">
                      <a:avLst/>
                    </a:prstGeom>
                    <a:ln w="3175">
                      <a:solidFill>
                        <a:schemeClr val="tx1"/>
                      </a:solidFill>
                    </a:ln>
                  </pic:spPr>
                </pic:pic>
              </a:graphicData>
            </a:graphic>
          </wp:inline>
        </w:drawing>
      </w:r>
    </w:p>
    <w:p w14:paraId="3C2B7A0C" w14:textId="77777777" w:rsidR="00157BD9" w:rsidRPr="00157BD9" w:rsidRDefault="000E0485" w:rsidP="00157BD9">
      <w:pPr>
        <w:rPr>
          <w:rFonts w:asciiTheme="minorHAnsi" w:hAnsiTheme="minorHAnsi" w:cstheme="minorHAnsi"/>
          <w:sz w:val="18"/>
          <w:szCs w:val="18"/>
          <w:lang w:val="en-US"/>
        </w:rPr>
      </w:pPr>
      <w:r w:rsidRPr="000E0485">
        <w:rPr>
          <w:rFonts w:asciiTheme="minorHAnsi" w:hAnsiTheme="minorHAnsi" w:cstheme="minorHAnsi"/>
          <w:i/>
          <w:iCs/>
          <w:sz w:val="18"/>
          <w:szCs w:val="18"/>
          <w:lang w:val="en-US"/>
        </w:rPr>
        <w:t>Caption</w:t>
      </w:r>
      <w:r w:rsidRPr="000E0485">
        <w:rPr>
          <w:rFonts w:asciiTheme="minorHAnsi" w:hAnsiTheme="minorHAnsi" w:cstheme="minorHAnsi"/>
          <w:sz w:val="18"/>
          <w:szCs w:val="18"/>
          <w:lang w:val="en-US"/>
        </w:rPr>
        <w:t xml:space="preserve">: </w:t>
      </w:r>
      <w:r w:rsidR="00157BD9" w:rsidRPr="00157BD9">
        <w:rPr>
          <w:rFonts w:asciiTheme="minorHAnsi" w:hAnsiTheme="minorHAnsi" w:cstheme="minorHAnsi"/>
          <w:sz w:val="18"/>
          <w:szCs w:val="18"/>
          <w:lang w:val="en-US"/>
        </w:rPr>
        <w:t>The new inductive ring sensors with IO-Link interface are convincing</w:t>
      </w:r>
    </w:p>
    <w:p w14:paraId="16E38D1B" w14:textId="6AF6047C" w:rsidR="000E0485" w:rsidRPr="000E0485" w:rsidRDefault="00157BD9" w:rsidP="00157BD9">
      <w:pPr>
        <w:rPr>
          <w:rFonts w:asciiTheme="minorHAnsi" w:hAnsiTheme="minorHAnsi" w:cstheme="minorHAnsi"/>
          <w:sz w:val="18"/>
          <w:szCs w:val="18"/>
          <w:lang w:val="en-US"/>
        </w:rPr>
      </w:pPr>
      <w:r w:rsidRPr="00157BD9">
        <w:rPr>
          <w:rFonts w:asciiTheme="minorHAnsi" w:hAnsiTheme="minorHAnsi" w:cstheme="minorHAnsi"/>
          <w:sz w:val="18"/>
          <w:szCs w:val="18"/>
          <w:lang w:val="en-US"/>
        </w:rPr>
        <w:t>with their freely selectable operational modes and high flexibility of use.</w:t>
      </w:r>
    </w:p>
    <w:p w14:paraId="32A8F357" w14:textId="77777777" w:rsidR="000E0485" w:rsidRPr="000E0485" w:rsidRDefault="000E0485" w:rsidP="000E0485">
      <w:pPr>
        <w:rPr>
          <w:rFonts w:asciiTheme="minorHAnsi" w:hAnsiTheme="minorHAnsi" w:cstheme="minorHAnsi"/>
          <w:sz w:val="18"/>
          <w:szCs w:val="18"/>
          <w:lang w:val="en-US"/>
        </w:rPr>
      </w:pPr>
      <w:r w:rsidRPr="000E0485">
        <w:rPr>
          <w:rFonts w:asciiTheme="minorHAnsi" w:hAnsiTheme="minorHAnsi" w:cstheme="minorHAnsi"/>
          <w:sz w:val="18"/>
          <w:szCs w:val="18"/>
          <w:lang w:val="en-US"/>
        </w:rPr>
        <w:t>(All images: ipf electronic gmbh)</w:t>
      </w:r>
    </w:p>
    <w:p w14:paraId="743CB6F2" w14:textId="77777777" w:rsidR="000E0485" w:rsidRDefault="000E0485" w:rsidP="000E0485">
      <w:pPr>
        <w:rPr>
          <w:rFonts w:asciiTheme="minorHAnsi" w:hAnsiTheme="minorHAnsi" w:cstheme="minorHAnsi"/>
          <w:sz w:val="18"/>
          <w:szCs w:val="18"/>
          <w:lang w:val="en-US"/>
        </w:rPr>
      </w:pPr>
    </w:p>
    <w:p w14:paraId="28E4D89B" w14:textId="4CA4EE49" w:rsidR="00CA2B5F" w:rsidRPr="009F6289" w:rsidRDefault="00CA2B5F" w:rsidP="00CA2B5F">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lastRenderedPageBreak/>
        <w:t xml:space="preserve">IPF ELECTRONIC </w:t>
      </w:r>
      <w:r>
        <w:rPr>
          <w:rFonts w:asciiTheme="minorHAnsi" w:hAnsiTheme="minorHAnsi"/>
          <w:b/>
          <w:i/>
          <w:sz w:val="24"/>
          <w:szCs w:val="24"/>
          <w:lang w:val="en-US"/>
        </w:rPr>
        <w:t>AT 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BOOTH</w:t>
      </w:r>
      <w:r w:rsidRPr="009F6289">
        <w:rPr>
          <w:rFonts w:asciiTheme="minorHAnsi" w:hAnsiTheme="minorHAnsi" w:cstheme="minorHAnsi"/>
          <w:b/>
          <w:i/>
          <w:color w:val="FF0000"/>
          <w:sz w:val="24"/>
          <w:szCs w:val="24"/>
          <w:lang w:val="en-US"/>
        </w:rPr>
        <w:t xml:space="preserve"> </w:t>
      </w:r>
      <w:r>
        <w:rPr>
          <w:rFonts w:asciiTheme="minorHAnsi" w:hAnsiTheme="minorHAnsi" w:cstheme="minorHAnsi"/>
          <w:b/>
          <w:i/>
          <w:color w:val="FF0000"/>
          <w:sz w:val="24"/>
          <w:szCs w:val="24"/>
          <w:lang w:val="en-US"/>
        </w:rPr>
        <w:t>131</w:t>
      </w:r>
    </w:p>
    <w:p w14:paraId="1A6BC849" w14:textId="77777777" w:rsidR="00CA2B5F" w:rsidRPr="000E0485" w:rsidRDefault="00CA2B5F" w:rsidP="000E0485">
      <w:pPr>
        <w:rPr>
          <w:rFonts w:asciiTheme="minorHAnsi" w:hAnsiTheme="minorHAnsi" w:cstheme="minorHAnsi"/>
          <w:sz w:val="18"/>
          <w:szCs w:val="18"/>
          <w:lang w:val="en-US"/>
        </w:rPr>
      </w:pPr>
    </w:p>
    <w:p w14:paraId="58434F4F" w14:textId="7B16F8FD" w:rsidR="000E0485" w:rsidRPr="00CA2B5F" w:rsidRDefault="000E0485" w:rsidP="000E0485">
      <w:pPr>
        <w:rPr>
          <w:rFonts w:asciiTheme="minorHAnsi" w:hAnsiTheme="minorHAnsi" w:cstheme="minorHAnsi"/>
          <w:sz w:val="18"/>
          <w:szCs w:val="18"/>
          <w:lang w:val="en-US"/>
        </w:rPr>
      </w:pPr>
    </w:p>
    <w:p w14:paraId="32A595EA" w14:textId="32C49285" w:rsidR="008140E1" w:rsidRPr="00D373C4" w:rsidRDefault="008140E1" w:rsidP="000E0485">
      <w:pPr>
        <w:suppressAutoHyphens/>
        <w:jc w:val="both"/>
        <w:rPr>
          <w:rFonts w:asciiTheme="minorHAnsi" w:hAnsiTheme="minorHAnsi" w:cstheme="minorHAnsi"/>
          <w:b/>
          <w:i/>
          <w:color w:val="FF0000"/>
          <w:lang w:val="en-US"/>
        </w:rPr>
      </w:pPr>
      <w:r w:rsidRPr="000C1DE5">
        <w:rPr>
          <w:rFonts w:asciiTheme="minorHAnsi" w:hAnsiTheme="minorHAnsi" w:cstheme="minorHAnsi"/>
          <w:b/>
          <w:i/>
          <w:color w:val="FF0000"/>
          <w:lang w:val="en-US"/>
        </w:rPr>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77777777" w:rsidR="008140E1" w:rsidRPr="00A54D79"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color w:val="0D0D0D"/>
          <w:sz w:val="17"/>
          <w:szCs w:val="17"/>
          <w:lang w:val="en-US"/>
        </w:rPr>
        <w:t>We have stood for high-performance sensors in autom</w:t>
      </w:r>
      <w:r>
        <w:rPr>
          <w:rFonts w:asciiTheme="minorHAnsi" w:hAnsiTheme="minorHAnsi" w:cstheme="minorHAnsi"/>
          <w:color w:val="0D0D0D"/>
          <w:sz w:val="17"/>
          <w:szCs w:val="17"/>
          <w:lang w:val="en-US"/>
        </w:rPr>
        <w:t>ation technology in the German-</w:t>
      </w:r>
      <w:r w:rsidRPr="00A54D79">
        <w:rPr>
          <w:rFonts w:asciiTheme="minorHAnsi" w:hAnsiTheme="minorHAnsi" w:cstheme="minorHAnsi"/>
          <w:color w:val="0D0D0D"/>
          <w:sz w:val="17"/>
          <w:szCs w:val="17"/>
          <w:lang w:val="en-US"/>
        </w:rPr>
        <w:t xml:space="preserve">speaking markets for over three decades. We prioritize the </w:t>
      </w:r>
      <w:r w:rsidRPr="00A54D79">
        <w:rPr>
          <w:rFonts w:asciiTheme="minorHAnsi" w:hAnsiTheme="minorHAnsi" w:cstheme="minorHAnsi"/>
          <w:sz w:val="17"/>
          <w:szCs w:val="17"/>
          <w:lang w:val="en-US"/>
        </w:rPr>
        <w:t>highest level of quality</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and have our own production at our headquarters in Altena in Sauerland.</w:t>
      </w:r>
    </w:p>
    <w:p w14:paraId="30C034BB" w14:textId="77777777"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Rosmarter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157BD9"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157BD9">
        <w:rPr>
          <w:rFonts w:asciiTheme="minorHAnsi" w:hAnsiTheme="minorHAnsi" w:cstheme="minorHAnsi"/>
          <w:b/>
          <w:sz w:val="17"/>
          <w:szCs w:val="17"/>
          <w:lang w:val="en-US"/>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4E478" w14:textId="77777777" w:rsidR="006B0347" w:rsidRDefault="006B0347">
      <w:r>
        <w:separator/>
      </w:r>
    </w:p>
  </w:endnote>
  <w:endnote w:type="continuationSeparator" w:id="0">
    <w:p w14:paraId="3338D5D6" w14:textId="77777777" w:rsidR="006B0347" w:rsidRDefault="006B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Kalver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266BA6DC" w:rsidR="002029BB" w:rsidRPr="008140E1" w:rsidRDefault="008140E1" w:rsidP="00242329">
    <w:pPr>
      <w:pStyle w:val="71Fusszeile"/>
      <w:ind w:left="142" w:right="-285"/>
      <w:jc w:val="right"/>
      <w:rPr>
        <w:sz w:val="12"/>
        <w:szCs w:val="12"/>
        <w:lang w:val="en-US"/>
      </w:rPr>
    </w:pPr>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FD217" w14:textId="77777777" w:rsidR="006B0347" w:rsidRDefault="006B0347">
      <w:r>
        <w:separator/>
      </w:r>
    </w:p>
  </w:footnote>
  <w:footnote w:type="continuationSeparator" w:id="0">
    <w:p w14:paraId="4337F370" w14:textId="77777777" w:rsidR="006B0347" w:rsidRDefault="006B0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1799388871" name="Grafik 1799388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7044026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748281">
    <w:abstractNumId w:val="1"/>
  </w:num>
  <w:num w:numId="3" w16cid:durableId="1963876896">
    <w:abstractNumId w:val="4"/>
  </w:num>
  <w:num w:numId="4" w16cid:durableId="886455030">
    <w:abstractNumId w:val="2"/>
  </w:num>
  <w:num w:numId="5" w16cid:durableId="605632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492111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0D8A"/>
    <w:rsid w:val="00085021"/>
    <w:rsid w:val="00085B2E"/>
    <w:rsid w:val="00090D32"/>
    <w:rsid w:val="000A2488"/>
    <w:rsid w:val="000A6C4C"/>
    <w:rsid w:val="000B66AD"/>
    <w:rsid w:val="000B6B9B"/>
    <w:rsid w:val="000C120E"/>
    <w:rsid w:val="000C5C18"/>
    <w:rsid w:val="000E0485"/>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57BD9"/>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53BD"/>
    <w:rsid w:val="00216B84"/>
    <w:rsid w:val="0021766A"/>
    <w:rsid w:val="00220111"/>
    <w:rsid w:val="0022339A"/>
    <w:rsid w:val="0023002E"/>
    <w:rsid w:val="00230611"/>
    <w:rsid w:val="00242329"/>
    <w:rsid w:val="00243126"/>
    <w:rsid w:val="00253C37"/>
    <w:rsid w:val="00255F02"/>
    <w:rsid w:val="002562B1"/>
    <w:rsid w:val="002577AD"/>
    <w:rsid w:val="00261A61"/>
    <w:rsid w:val="00273C64"/>
    <w:rsid w:val="00274E2C"/>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0FD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278BC"/>
    <w:rsid w:val="00430396"/>
    <w:rsid w:val="00431F2C"/>
    <w:rsid w:val="0043472E"/>
    <w:rsid w:val="00450596"/>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B5846"/>
    <w:rsid w:val="005C2E3B"/>
    <w:rsid w:val="005C45BC"/>
    <w:rsid w:val="005D0108"/>
    <w:rsid w:val="005D0620"/>
    <w:rsid w:val="005D079E"/>
    <w:rsid w:val="005D2D92"/>
    <w:rsid w:val="005D2E7E"/>
    <w:rsid w:val="005D7985"/>
    <w:rsid w:val="005F286A"/>
    <w:rsid w:val="005F6CF0"/>
    <w:rsid w:val="00613085"/>
    <w:rsid w:val="006143BE"/>
    <w:rsid w:val="00621E6F"/>
    <w:rsid w:val="00625C02"/>
    <w:rsid w:val="00627CB3"/>
    <w:rsid w:val="006366C7"/>
    <w:rsid w:val="006371DD"/>
    <w:rsid w:val="0064185E"/>
    <w:rsid w:val="00641A0C"/>
    <w:rsid w:val="006428DC"/>
    <w:rsid w:val="00643EC6"/>
    <w:rsid w:val="00646E65"/>
    <w:rsid w:val="00647CA8"/>
    <w:rsid w:val="00653BE7"/>
    <w:rsid w:val="00654CCA"/>
    <w:rsid w:val="00663440"/>
    <w:rsid w:val="0066699E"/>
    <w:rsid w:val="00674B7C"/>
    <w:rsid w:val="00674EC3"/>
    <w:rsid w:val="006774B1"/>
    <w:rsid w:val="0068650C"/>
    <w:rsid w:val="006933E4"/>
    <w:rsid w:val="00693AE5"/>
    <w:rsid w:val="006960C1"/>
    <w:rsid w:val="006975E9"/>
    <w:rsid w:val="006A52AF"/>
    <w:rsid w:val="006B01FE"/>
    <w:rsid w:val="006B0347"/>
    <w:rsid w:val="006B3A12"/>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0761"/>
    <w:rsid w:val="00761BAA"/>
    <w:rsid w:val="00763D40"/>
    <w:rsid w:val="00765FE2"/>
    <w:rsid w:val="00766DA4"/>
    <w:rsid w:val="007829D9"/>
    <w:rsid w:val="007911C1"/>
    <w:rsid w:val="00793A81"/>
    <w:rsid w:val="007A0117"/>
    <w:rsid w:val="007B11D5"/>
    <w:rsid w:val="007D31DC"/>
    <w:rsid w:val="007D7180"/>
    <w:rsid w:val="007D77B2"/>
    <w:rsid w:val="007D7948"/>
    <w:rsid w:val="007F2037"/>
    <w:rsid w:val="007F505B"/>
    <w:rsid w:val="007F6FA2"/>
    <w:rsid w:val="008077C8"/>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252FB"/>
    <w:rsid w:val="00A31002"/>
    <w:rsid w:val="00A40630"/>
    <w:rsid w:val="00A447DF"/>
    <w:rsid w:val="00A452E4"/>
    <w:rsid w:val="00A45B5E"/>
    <w:rsid w:val="00A65620"/>
    <w:rsid w:val="00A65A29"/>
    <w:rsid w:val="00A716E7"/>
    <w:rsid w:val="00A73C9E"/>
    <w:rsid w:val="00A77B5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C7709"/>
    <w:rsid w:val="00AD53CC"/>
    <w:rsid w:val="00AE0552"/>
    <w:rsid w:val="00AE226B"/>
    <w:rsid w:val="00AE35D4"/>
    <w:rsid w:val="00AE4A4F"/>
    <w:rsid w:val="00AE5EE3"/>
    <w:rsid w:val="00AE62CB"/>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A43D7"/>
    <w:rsid w:val="00BA714B"/>
    <w:rsid w:val="00BA7947"/>
    <w:rsid w:val="00BB1592"/>
    <w:rsid w:val="00BB28AB"/>
    <w:rsid w:val="00BB3073"/>
    <w:rsid w:val="00BD06DF"/>
    <w:rsid w:val="00BD2FD6"/>
    <w:rsid w:val="00BD593E"/>
    <w:rsid w:val="00BD7742"/>
    <w:rsid w:val="00BF050B"/>
    <w:rsid w:val="00BF07FE"/>
    <w:rsid w:val="00C006F3"/>
    <w:rsid w:val="00C01AA3"/>
    <w:rsid w:val="00C1421F"/>
    <w:rsid w:val="00C17EEC"/>
    <w:rsid w:val="00C30E81"/>
    <w:rsid w:val="00C460ED"/>
    <w:rsid w:val="00C50CC0"/>
    <w:rsid w:val="00C57CBE"/>
    <w:rsid w:val="00C60A43"/>
    <w:rsid w:val="00C61C60"/>
    <w:rsid w:val="00C62C8B"/>
    <w:rsid w:val="00C64116"/>
    <w:rsid w:val="00C65567"/>
    <w:rsid w:val="00C6767D"/>
    <w:rsid w:val="00C67C53"/>
    <w:rsid w:val="00C776FF"/>
    <w:rsid w:val="00C94C34"/>
    <w:rsid w:val="00CA1E17"/>
    <w:rsid w:val="00CA2B5F"/>
    <w:rsid w:val="00CA6D0A"/>
    <w:rsid w:val="00CB423A"/>
    <w:rsid w:val="00CB4417"/>
    <w:rsid w:val="00CC68C1"/>
    <w:rsid w:val="00CD0399"/>
    <w:rsid w:val="00CD09A4"/>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373C4"/>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735E"/>
    <w:rsid w:val="00EC7E52"/>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2CE3"/>
    <w:rsid w:val="00FB4CD4"/>
    <w:rsid w:val="00FB5B4D"/>
    <w:rsid w:val="00FC489E"/>
    <w:rsid w:val="00FC7ED5"/>
    <w:rsid w:val="00FD071E"/>
    <w:rsid w:val="00FD4444"/>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10209">
      <w:bodyDiv w:val="1"/>
      <w:marLeft w:val="0"/>
      <w:marRight w:val="0"/>
      <w:marTop w:val="0"/>
      <w:marBottom w:val="0"/>
      <w:divBdr>
        <w:top w:val="none" w:sz="0" w:space="0" w:color="auto"/>
        <w:left w:val="none" w:sz="0" w:space="0" w:color="auto"/>
        <w:bottom w:val="none" w:sz="0" w:space="0" w:color="auto"/>
        <w:right w:val="none" w:sz="0" w:space="0" w:color="auto"/>
      </w:divBdr>
    </w:div>
    <w:div w:id="13216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4161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4812</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Anastasia Geromichalou</cp:lastModifiedBy>
  <cp:revision>4</cp:revision>
  <cp:lastPrinted>2020-08-21T09:25:00Z</cp:lastPrinted>
  <dcterms:created xsi:type="dcterms:W3CDTF">2025-11-05T06:55:00Z</dcterms:created>
  <dcterms:modified xsi:type="dcterms:W3CDTF">2025-11-05T07:05:00Z</dcterms:modified>
</cp:coreProperties>
</file>