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608ED60E" w14:textId="77777777" w:rsidR="00312CFB" w:rsidRDefault="00312CFB" w:rsidP="000E0485">
      <w:pPr>
        <w:rPr>
          <w:rFonts w:asciiTheme="minorHAnsi" w:hAnsiTheme="minorHAnsi" w:cstheme="minorHAnsi"/>
          <w:b/>
          <w:bCs/>
          <w:i/>
          <w:iCs/>
          <w:color w:val="FF0000"/>
          <w:sz w:val="21"/>
          <w:szCs w:val="21"/>
          <w:lang w:val="en-US"/>
        </w:rPr>
      </w:pPr>
      <w:r w:rsidRPr="00312CFB">
        <w:rPr>
          <w:rFonts w:asciiTheme="minorHAnsi" w:hAnsiTheme="minorHAnsi" w:cstheme="minorHAnsi"/>
          <w:b/>
          <w:bCs/>
          <w:i/>
          <w:iCs/>
          <w:color w:val="FF0000"/>
          <w:sz w:val="21"/>
          <w:szCs w:val="21"/>
          <w:lang w:val="en-US"/>
        </w:rPr>
        <w:t>Space saver for the top hat rail</w:t>
      </w:r>
    </w:p>
    <w:p w14:paraId="2C8247FC" w14:textId="15302687" w:rsidR="000E0485" w:rsidRDefault="00312CFB" w:rsidP="000E0485">
      <w:pPr>
        <w:rPr>
          <w:rFonts w:asciiTheme="minorHAnsi" w:hAnsiTheme="minorHAnsi" w:cstheme="minorHAnsi"/>
          <w:i/>
          <w:iCs/>
          <w:sz w:val="21"/>
          <w:szCs w:val="21"/>
          <w:lang w:val="en-US"/>
        </w:rPr>
      </w:pPr>
      <w:r w:rsidRPr="00312CFB">
        <w:rPr>
          <w:rFonts w:asciiTheme="minorHAnsi" w:hAnsiTheme="minorHAnsi" w:cstheme="minorHAnsi"/>
          <w:i/>
          <w:iCs/>
          <w:sz w:val="21"/>
          <w:szCs w:val="21"/>
          <w:lang w:val="en-US"/>
        </w:rPr>
        <w:t>New IO-Link logic module from IPF</w:t>
      </w:r>
    </w:p>
    <w:p w14:paraId="6654BD4D" w14:textId="77777777" w:rsidR="00312CFB" w:rsidRPr="000E0485" w:rsidRDefault="00312CFB" w:rsidP="000E0485">
      <w:pPr>
        <w:rPr>
          <w:rFonts w:asciiTheme="minorHAnsi" w:hAnsiTheme="minorHAnsi" w:cstheme="minorHAnsi"/>
          <w:sz w:val="18"/>
          <w:szCs w:val="18"/>
          <w:lang w:val="en-US"/>
        </w:rPr>
      </w:pPr>
    </w:p>
    <w:p w14:paraId="4B13057F" w14:textId="77777777" w:rsidR="00312CFB" w:rsidRPr="00312CFB" w:rsidRDefault="00312CFB" w:rsidP="00312CFB">
      <w:pPr>
        <w:jc w:val="both"/>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IPF is one of the pioneers in the field of logic modules, as the sensor specialist from the Sauerland region developed the devices in the </w:t>
      </w:r>
      <w:r w:rsidRPr="00312CFB">
        <w:rPr>
          <w:rFonts w:asciiTheme="minorHAnsi" w:hAnsiTheme="minorHAnsi" w:cstheme="minorHAnsi"/>
          <w:b/>
          <w:bCs/>
          <w:sz w:val="18"/>
          <w:szCs w:val="18"/>
          <w:lang w:val="en-US"/>
        </w:rPr>
        <w:t>VL25</w:t>
      </w:r>
      <w:r w:rsidRPr="00312CFB">
        <w:rPr>
          <w:rFonts w:asciiTheme="minorHAnsi" w:hAnsiTheme="minorHAnsi" w:cstheme="minorHAnsi"/>
          <w:sz w:val="18"/>
          <w:szCs w:val="18"/>
          <w:lang w:val="en-US"/>
        </w:rPr>
        <w:t xml:space="preserve"> series, the Sauerland-based sensor specialist developed one of the first solutions for DIN rail mounting for the logic operation of sensor signals in the field decades ago. IPF also recognized the potential of IO-Link for flexible parameterization of logic modules at a very early stage. The logical consequence: with the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IPF is now presenting its first highly flexible IO-Link logic module for freely </w:t>
      </w:r>
      <w:proofErr w:type="spellStart"/>
      <w:r w:rsidRPr="00312CFB">
        <w:rPr>
          <w:rFonts w:asciiTheme="minorHAnsi" w:hAnsiTheme="minorHAnsi" w:cstheme="minorHAnsi"/>
          <w:sz w:val="18"/>
          <w:szCs w:val="18"/>
          <w:lang w:val="en-US"/>
        </w:rPr>
        <w:t>wireable</w:t>
      </w:r>
      <w:proofErr w:type="spellEnd"/>
      <w:r w:rsidRPr="00312CFB">
        <w:rPr>
          <w:rFonts w:asciiTheme="minorHAnsi" w:hAnsiTheme="minorHAnsi" w:cstheme="minorHAnsi"/>
          <w:sz w:val="18"/>
          <w:szCs w:val="18"/>
          <w:lang w:val="en-US"/>
        </w:rPr>
        <w:t xml:space="preserve"> control cabinet installation.</w:t>
      </w:r>
    </w:p>
    <w:p w14:paraId="33C6B287" w14:textId="77777777" w:rsidR="00312CFB" w:rsidRPr="00312CFB" w:rsidRDefault="00312CFB" w:rsidP="00312CFB">
      <w:pPr>
        <w:jc w:val="both"/>
        <w:rPr>
          <w:rFonts w:asciiTheme="minorHAnsi" w:hAnsiTheme="minorHAnsi" w:cstheme="minorHAnsi"/>
          <w:sz w:val="18"/>
          <w:szCs w:val="18"/>
          <w:lang w:val="en-US"/>
        </w:rPr>
      </w:pPr>
    </w:p>
    <w:p w14:paraId="68BBB344" w14:textId="77777777" w:rsidR="00312CFB" w:rsidRPr="00312CFB" w:rsidRDefault="00312CFB" w:rsidP="00312CFB">
      <w:pPr>
        <w:jc w:val="both"/>
        <w:rPr>
          <w:rFonts w:asciiTheme="minorHAnsi" w:hAnsiTheme="minorHAnsi" w:cstheme="minorHAnsi"/>
          <w:b/>
          <w:bCs/>
          <w:sz w:val="18"/>
          <w:szCs w:val="18"/>
          <w:lang w:val="en-US"/>
        </w:rPr>
      </w:pPr>
      <w:r w:rsidRPr="00312CFB">
        <w:rPr>
          <w:rFonts w:asciiTheme="minorHAnsi" w:hAnsiTheme="minorHAnsi" w:cstheme="minorHAnsi"/>
          <w:b/>
          <w:bCs/>
          <w:sz w:val="18"/>
          <w:szCs w:val="18"/>
          <w:lang w:val="en-US"/>
        </w:rPr>
        <w:t>Many advantages of decentralized signal processing</w:t>
      </w:r>
    </w:p>
    <w:p w14:paraId="03D929D3" w14:textId="77777777" w:rsidR="00312CFB" w:rsidRPr="00312CFB" w:rsidRDefault="00312CFB" w:rsidP="00312CFB">
      <w:pPr>
        <w:jc w:val="both"/>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Modern manufacturing processes cannot do without </w:t>
      </w:r>
      <w:proofErr w:type="gramStart"/>
      <w:r w:rsidRPr="00312CFB">
        <w:rPr>
          <w:rFonts w:asciiTheme="minorHAnsi" w:hAnsiTheme="minorHAnsi" w:cstheme="minorHAnsi"/>
          <w:sz w:val="18"/>
          <w:szCs w:val="18"/>
          <w:lang w:val="en-US"/>
        </w:rPr>
        <w:t>a large number of</w:t>
      </w:r>
      <w:proofErr w:type="gramEnd"/>
      <w:r w:rsidRPr="00312CFB">
        <w:rPr>
          <w:rFonts w:asciiTheme="minorHAnsi" w:hAnsiTheme="minorHAnsi" w:cstheme="minorHAnsi"/>
          <w:sz w:val="18"/>
          <w:szCs w:val="18"/>
          <w:lang w:val="en-US"/>
        </w:rPr>
        <w:t xml:space="preserve"> sensors for a wide variety of tasks. However, the straight inquiry of many sensors via a system controller (PLC (programmable logic controller)) can prolong cycle times considerably and, via this, increases the need for inputs and signal lines. Decentralized processing of sensor signals with logic modules, on the other hand, significantly reduces the load on a PLC (programmable logic controller), ensures shorter cable runs, reduces the wiring effort </w:t>
      </w:r>
      <w:proofErr w:type="gramStart"/>
      <w:r w:rsidRPr="00312CFB">
        <w:rPr>
          <w:rFonts w:asciiTheme="minorHAnsi" w:hAnsiTheme="minorHAnsi" w:cstheme="minorHAnsi"/>
          <w:sz w:val="18"/>
          <w:szCs w:val="18"/>
          <w:lang w:val="en-US"/>
        </w:rPr>
        <w:t>and also</w:t>
      </w:r>
      <w:proofErr w:type="gramEnd"/>
      <w:r w:rsidRPr="00312CFB">
        <w:rPr>
          <w:rFonts w:asciiTheme="minorHAnsi" w:hAnsiTheme="minorHAnsi" w:cstheme="minorHAnsi"/>
          <w:sz w:val="18"/>
          <w:szCs w:val="18"/>
          <w:lang w:val="en-US"/>
        </w:rPr>
        <w:t xml:space="preserve"> reduces the need for control inputs.</w:t>
      </w:r>
    </w:p>
    <w:p w14:paraId="3D262944" w14:textId="77777777" w:rsidR="00312CFB" w:rsidRPr="00312CFB" w:rsidRDefault="00312CFB" w:rsidP="00312CFB">
      <w:pPr>
        <w:jc w:val="both"/>
        <w:rPr>
          <w:rFonts w:asciiTheme="minorHAnsi" w:hAnsiTheme="minorHAnsi" w:cstheme="minorHAnsi"/>
          <w:sz w:val="18"/>
          <w:szCs w:val="18"/>
          <w:lang w:val="en-US"/>
        </w:rPr>
      </w:pPr>
    </w:p>
    <w:p w14:paraId="7C09F695" w14:textId="77777777" w:rsidR="00312CFB" w:rsidRPr="00312CFB" w:rsidRDefault="00312CFB" w:rsidP="00312CFB">
      <w:pPr>
        <w:jc w:val="both"/>
        <w:rPr>
          <w:rFonts w:asciiTheme="minorHAnsi" w:hAnsiTheme="minorHAnsi" w:cstheme="minorHAnsi"/>
          <w:b/>
          <w:bCs/>
          <w:sz w:val="18"/>
          <w:szCs w:val="18"/>
          <w:lang w:val="en-US"/>
        </w:rPr>
      </w:pPr>
      <w:r w:rsidRPr="00312CFB">
        <w:rPr>
          <w:rFonts w:asciiTheme="minorHAnsi" w:hAnsiTheme="minorHAnsi" w:cstheme="minorHAnsi"/>
          <w:b/>
          <w:bCs/>
          <w:sz w:val="18"/>
          <w:szCs w:val="18"/>
          <w:lang w:val="en-US"/>
        </w:rPr>
        <w:t>Particularly slim and flexible solution</w:t>
      </w:r>
    </w:p>
    <w:p w14:paraId="2545AD03" w14:textId="77777777" w:rsidR="00312CFB" w:rsidRPr="00312CFB" w:rsidRDefault="00312CFB" w:rsidP="00312CFB">
      <w:pPr>
        <w:jc w:val="both"/>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The IO-Link logic module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requires an operating voltage of 10-30V DC and, with a width of just 22.5mm, has been specially designed to save space on the top hat rail. The scope of performance of the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is </w:t>
      </w:r>
      <w:proofErr w:type="gramStart"/>
      <w:r w:rsidRPr="00312CFB">
        <w:rPr>
          <w:rFonts w:asciiTheme="minorHAnsi" w:hAnsiTheme="minorHAnsi" w:cstheme="minorHAnsi"/>
          <w:sz w:val="18"/>
          <w:szCs w:val="18"/>
          <w:lang w:val="en-US"/>
        </w:rPr>
        <w:t>similar to</w:t>
      </w:r>
      <w:proofErr w:type="gramEnd"/>
      <w:r w:rsidRPr="00312CFB">
        <w:rPr>
          <w:rFonts w:asciiTheme="minorHAnsi" w:hAnsiTheme="minorHAnsi" w:cstheme="minorHAnsi"/>
          <w:sz w:val="18"/>
          <w:szCs w:val="18"/>
          <w:lang w:val="en-US"/>
        </w:rPr>
        <w:t xml:space="preserve"> its siblings in the </w:t>
      </w:r>
      <w:r w:rsidRPr="00312CFB">
        <w:rPr>
          <w:rFonts w:asciiTheme="minorHAnsi" w:hAnsiTheme="minorHAnsi" w:cstheme="minorHAnsi"/>
          <w:b/>
          <w:bCs/>
          <w:sz w:val="18"/>
          <w:szCs w:val="18"/>
          <w:lang w:val="en-US"/>
        </w:rPr>
        <w:t>VL31</w:t>
      </w:r>
      <w:r w:rsidRPr="00312CFB">
        <w:rPr>
          <w:rFonts w:asciiTheme="minorHAnsi" w:hAnsiTheme="minorHAnsi" w:cstheme="minorHAnsi"/>
          <w:sz w:val="18"/>
          <w:szCs w:val="18"/>
          <w:lang w:val="en-US"/>
        </w:rPr>
        <w:t xml:space="preserve"> and </w:t>
      </w:r>
      <w:r w:rsidRPr="00312CFB">
        <w:rPr>
          <w:rFonts w:asciiTheme="minorHAnsi" w:hAnsiTheme="minorHAnsi" w:cstheme="minorHAnsi"/>
          <w:b/>
          <w:bCs/>
          <w:sz w:val="18"/>
          <w:szCs w:val="18"/>
          <w:lang w:val="en-US"/>
        </w:rPr>
        <w:t>VL61</w:t>
      </w:r>
      <w:r w:rsidRPr="00312CFB">
        <w:rPr>
          <w:rFonts w:asciiTheme="minorHAnsi" w:hAnsiTheme="minorHAnsi" w:cstheme="minorHAnsi"/>
          <w:sz w:val="18"/>
          <w:szCs w:val="18"/>
          <w:lang w:val="en-US"/>
        </w:rPr>
        <w:t xml:space="preserve"> series with an IO-Link interface, although the functions of the new module are identical to those of the IO-Link logic module VL610328 from IPF are identical. The two digital switching outputs of the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can be logically linked with up to eight sensor inputs (AND/OR link). Both the inputs and logics can be freely selected.</w:t>
      </w:r>
    </w:p>
    <w:p w14:paraId="7D0B21BB" w14:textId="77777777" w:rsidR="00312CFB" w:rsidRPr="00312CFB" w:rsidRDefault="00312CFB" w:rsidP="00312CFB">
      <w:pPr>
        <w:jc w:val="both"/>
        <w:rPr>
          <w:rFonts w:asciiTheme="minorHAnsi" w:hAnsiTheme="minorHAnsi" w:cstheme="minorHAnsi"/>
          <w:sz w:val="18"/>
          <w:szCs w:val="18"/>
          <w:lang w:val="en-US"/>
        </w:rPr>
      </w:pPr>
    </w:p>
    <w:p w14:paraId="2F19F460" w14:textId="77777777" w:rsidR="00312CFB" w:rsidRPr="00312CFB" w:rsidRDefault="00312CFB" w:rsidP="00312CFB">
      <w:pPr>
        <w:jc w:val="both"/>
        <w:rPr>
          <w:rFonts w:asciiTheme="minorHAnsi" w:hAnsiTheme="minorHAnsi" w:cstheme="minorHAnsi"/>
          <w:b/>
          <w:bCs/>
          <w:sz w:val="18"/>
          <w:szCs w:val="18"/>
          <w:lang w:val="en-US"/>
        </w:rPr>
      </w:pPr>
      <w:r w:rsidRPr="00312CFB">
        <w:rPr>
          <w:rFonts w:asciiTheme="minorHAnsi" w:hAnsiTheme="minorHAnsi" w:cstheme="minorHAnsi"/>
          <w:b/>
          <w:bCs/>
          <w:sz w:val="18"/>
          <w:szCs w:val="18"/>
          <w:lang w:val="en-US"/>
        </w:rPr>
        <w:t>Proven in practice: Virtual groups and debounce function</w:t>
      </w:r>
    </w:p>
    <w:p w14:paraId="11C0E104" w14:textId="77777777" w:rsidR="00312CFB" w:rsidRPr="00312CFB" w:rsidRDefault="00312CFB" w:rsidP="00312CFB">
      <w:pPr>
        <w:jc w:val="both"/>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In addition, the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incorporates some tried-and-tested features from IPF's previous IO-Link logic modules. These include the creation of so-called virtual groups, which allow several conventional logic distributors to be replaced by a single IO-Link logic module.</w:t>
      </w:r>
    </w:p>
    <w:p w14:paraId="3CD4D28E" w14:textId="20CEBF1F" w:rsidR="000E0485" w:rsidRPr="000E0485" w:rsidRDefault="00312CFB" w:rsidP="00312CFB">
      <w:pPr>
        <w:jc w:val="both"/>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Another feature is a so-called debounce function. This makes it possible to route a signal via a mechanical contact. For example, if the signal of a mechanical limit switch, plunger switch or roller limit switch is to be sent to an input of the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this special function prevents the evaluation of several switching signals due to a contact bounce of a switch</w:t>
      </w:r>
      <w:r w:rsidR="000E0485" w:rsidRPr="000E0485">
        <w:rPr>
          <w:rFonts w:asciiTheme="minorHAnsi" w:hAnsiTheme="minorHAnsi" w:cstheme="minorHAnsi"/>
          <w:sz w:val="18"/>
          <w:szCs w:val="18"/>
          <w:lang w:val="en-US"/>
        </w:rPr>
        <w:t>.</w:t>
      </w:r>
    </w:p>
    <w:p w14:paraId="28150B9B" w14:textId="77777777" w:rsidR="000E0485" w:rsidRPr="000E0485" w:rsidRDefault="000E0485" w:rsidP="000E0485">
      <w:pPr>
        <w:rPr>
          <w:rFonts w:asciiTheme="minorHAnsi" w:hAnsiTheme="minorHAnsi" w:cstheme="minorHAnsi"/>
          <w:sz w:val="18"/>
          <w:szCs w:val="18"/>
          <w:lang w:val="en-US"/>
        </w:rPr>
      </w:pPr>
    </w:p>
    <w:p w14:paraId="4B9E5AA4" w14:textId="51CB0384" w:rsidR="000E0485" w:rsidRDefault="00312CFB"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71E37375" wp14:editId="3DD13E53">
            <wp:extent cx="3978234" cy="2811467"/>
            <wp:effectExtent l="12700" t="12700" r="10160" b="8255"/>
            <wp:docPr id="13044456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45692" name="Grafik 1304445692"/>
                    <pic:cNvPicPr/>
                  </pic:nvPicPr>
                  <pic:blipFill>
                    <a:blip r:embed="rId13"/>
                    <a:stretch>
                      <a:fillRect/>
                    </a:stretch>
                  </pic:blipFill>
                  <pic:spPr>
                    <a:xfrm>
                      <a:off x="0" y="0"/>
                      <a:ext cx="3994896" cy="2823243"/>
                    </a:xfrm>
                    <a:prstGeom prst="rect">
                      <a:avLst/>
                    </a:prstGeom>
                    <a:ln w="3175">
                      <a:solidFill>
                        <a:schemeClr val="tx1"/>
                      </a:solidFill>
                    </a:ln>
                  </pic:spPr>
                </pic:pic>
              </a:graphicData>
            </a:graphic>
          </wp:inline>
        </w:drawing>
      </w:r>
    </w:p>
    <w:p w14:paraId="5365ADC6" w14:textId="77777777" w:rsidR="00312CFB" w:rsidRPr="00312CFB" w:rsidRDefault="000E0485" w:rsidP="00312CFB">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312CFB" w:rsidRPr="00312CFB">
        <w:rPr>
          <w:rFonts w:asciiTheme="minorHAnsi" w:hAnsiTheme="minorHAnsi" w:cstheme="minorHAnsi"/>
          <w:sz w:val="18"/>
          <w:szCs w:val="18"/>
          <w:lang w:val="en-US"/>
        </w:rPr>
        <w:t xml:space="preserve">Another milestone in IO-Link logic modules from IPF: </w:t>
      </w:r>
    </w:p>
    <w:p w14:paraId="7EC85C4B" w14:textId="31AF8DFA" w:rsidR="00312CFB" w:rsidRPr="00312CFB" w:rsidRDefault="00312CFB" w:rsidP="00312CFB">
      <w:pPr>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The new, very narrow </w:t>
      </w:r>
      <w:r w:rsidRPr="00312CFB">
        <w:rPr>
          <w:rFonts w:asciiTheme="minorHAnsi" w:hAnsiTheme="minorHAnsi" w:cstheme="minorHAnsi"/>
          <w:b/>
          <w:bCs/>
          <w:sz w:val="18"/>
          <w:szCs w:val="18"/>
          <w:lang w:val="en-US"/>
        </w:rPr>
        <w:t>VL530100</w:t>
      </w:r>
      <w:r w:rsidRPr="00312CFB">
        <w:rPr>
          <w:rFonts w:asciiTheme="minorHAnsi" w:hAnsiTheme="minorHAnsi" w:cstheme="minorHAnsi"/>
          <w:sz w:val="18"/>
          <w:szCs w:val="18"/>
          <w:lang w:val="en-US"/>
        </w:rPr>
        <w:t xml:space="preserve"> for AND/OR connections </w:t>
      </w:r>
      <w:r w:rsidRPr="00312CFB">
        <w:rPr>
          <w:rFonts w:asciiTheme="minorHAnsi" w:hAnsiTheme="minorHAnsi" w:cstheme="minorHAnsi"/>
          <w:sz w:val="18"/>
          <w:szCs w:val="18"/>
          <w:lang w:val="en-US"/>
        </w:rPr>
        <w:t>were</w:t>
      </w:r>
      <w:r w:rsidRPr="00312CFB">
        <w:rPr>
          <w:rFonts w:asciiTheme="minorHAnsi" w:hAnsiTheme="minorHAnsi" w:cstheme="minorHAnsi"/>
          <w:sz w:val="18"/>
          <w:szCs w:val="18"/>
          <w:lang w:val="en-US"/>
        </w:rPr>
        <w:t xml:space="preserve"> developed specifically for </w:t>
      </w:r>
    </w:p>
    <w:p w14:paraId="32A8F357" w14:textId="04D91EEE" w:rsidR="000E0485" w:rsidRPr="000E0485" w:rsidRDefault="00312CFB" w:rsidP="00312CFB">
      <w:pPr>
        <w:rPr>
          <w:rFonts w:asciiTheme="minorHAnsi" w:hAnsiTheme="minorHAnsi" w:cstheme="minorHAnsi"/>
          <w:sz w:val="18"/>
          <w:szCs w:val="18"/>
          <w:lang w:val="en-US"/>
        </w:rPr>
      </w:pPr>
      <w:r w:rsidRPr="00312CFB">
        <w:rPr>
          <w:rFonts w:asciiTheme="minorHAnsi" w:hAnsiTheme="minorHAnsi" w:cstheme="minorHAnsi"/>
          <w:sz w:val="18"/>
          <w:szCs w:val="18"/>
          <w:lang w:val="en-US"/>
        </w:rPr>
        <w:t xml:space="preserve">mounting on a top-hat rail. </w:t>
      </w:r>
      <w:r w:rsidR="000E0485" w:rsidRPr="000E0485">
        <w:rPr>
          <w:rFonts w:asciiTheme="minorHAnsi" w:hAnsiTheme="minorHAnsi" w:cstheme="minorHAnsi"/>
          <w:sz w:val="18"/>
          <w:szCs w:val="18"/>
          <w:lang w:val="en-US"/>
        </w:rPr>
        <w:t>(All images: ipf electronic gmbh)</w:t>
      </w:r>
    </w:p>
    <w:p w14:paraId="32A595EA" w14:textId="239CB1F8"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312CFB"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312CFB">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10A"/>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2CFB"/>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3609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4249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2</cp:revision>
  <cp:lastPrinted>2020-08-21T09:25:00Z</cp:lastPrinted>
  <dcterms:created xsi:type="dcterms:W3CDTF">2025-06-27T09:30:00Z</dcterms:created>
  <dcterms:modified xsi:type="dcterms:W3CDTF">2025-06-27T09:30:00Z</dcterms:modified>
</cp:coreProperties>
</file>