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044D5DDA" w14:textId="0F8B0684" w:rsidR="00B904E1" w:rsidRDefault="00B904E1" w:rsidP="00B904E1">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Compact pressure and vacuum sensors</w:t>
      </w:r>
    </w:p>
    <w:p w14:paraId="27161C95" w14:textId="718C639A" w:rsidR="00B904E1" w:rsidRPr="00CD0399" w:rsidRDefault="00B904E1" w:rsidP="00B904E1">
      <w:pPr>
        <w:autoSpaceDE w:val="0"/>
        <w:autoSpaceDN w:val="0"/>
        <w:adjustRightInd w:val="0"/>
        <w:ind w:right="-1"/>
        <w:rPr>
          <w:rFonts w:asciiTheme="minorHAnsi" w:hAnsiTheme="minorHAnsi" w:cstheme="minorHAnsi"/>
          <w:sz w:val="18"/>
          <w:szCs w:val="18"/>
        </w:rPr>
        <w:sectPr w:rsidR="00B904E1" w:rsidRPr="00CD0399" w:rsidSect="00DF5EDA">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r w:rsidRPr="00B904E1">
        <w:rPr>
          <w:rFonts w:asciiTheme="minorHAnsi" w:hAnsiTheme="minorHAnsi" w:cstheme="minorHAnsi"/>
          <w:i/>
          <w:iCs/>
          <w:sz w:val="21"/>
          <w:szCs w:val="21"/>
        </w:rPr>
        <w:t>New "lightweights" from ipf electronic for handling and automation systems</w:t>
      </w:r>
    </w:p>
    <w:p w14:paraId="1653564D" w14:textId="77777777" w:rsidR="00B904E1" w:rsidRDefault="00B904E1" w:rsidP="00B904E1">
      <w:pPr>
        <w:rPr>
          <w:rFonts w:asciiTheme="minorHAnsi" w:hAnsiTheme="minorHAnsi" w:cstheme="minorHAnsi"/>
          <w:sz w:val="18"/>
          <w:szCs w:val="18"/>
        </w:rPr>
      </w:pPr>
    </w:p>
    <w:p w14:paraId="35C790D3" w14:textId="77777777" w:rsidR="00B904E1" w:rsidRPr="00B904E1" w:rsidRDefault="00B904E1" w:rsidP="00B904E1">
      <w:pPr>
        <w:suppressAutoHyphens/>
        <w:jc w:val="both"/>
        <w:rPr>
          <w:rFonts w:asciiTheme="minorHAnsi" w:hAnsiTheme="minorHAnsi" w:cstheme="minorHAnsi"/>
          <w:sz w:val="21"/>
          <w:szCs w:val="21"/>
        </w:rPr>
      </w:pPr>
      <w:r w:rsidRPr="00B904E1">
        <w:rPr>
          <w:rFonts w:asciiTheme="minorHAnsi" w:hAnsiTheme="minorHAnsi" w:cstheme="minorHAnsi"/>
          <w:sz w:val="21"/>
          <w:szCs w:val="21"/>
        </w:rPr>
        <w:t xml:space="preserve">With the </w:t>
      </w:r>
      <w:r w:rsidRPr="00C85FB4">
        <w:rPr>
          <w:rFonts w:asciiTheme="minorHAnsi" w:hAnsiTheme="minorHAnsi" w:cstheme="minorHAnsi"/>
          <w:b/>
          <w:bCs/>
          <w:sz w:val="21"/>
          <w:szCs w:val="21"/>
        </w:rPr>
        <w:t>DT16410x</w:t>
      </w:r>
      <w:r w:rsidRPr="00B904E1">
        <w:rPr>
          <w:rFonts w:asciiTheme="minorHAnsi" w:hAnsiTheme="minorHAnsi" w:cstheme="minorHAnsi"/>
          <w:sz w:val="21"/>
          <w:szCs w:val="21"/>
        </w:rPr>
        <w:t xml:space="preserve"> series, ipf electronic introduces pressure transmitters for pressure and vacuum applications that are ideal for versatile use in handling and automation systems due to their compact design and low weight of only 25g.</w:t>
      </w:r>
    </w:p>
    <w:p w14:paraId="440BB2FD" w14:textId="77777777" w:rsidR="00B904E1" w:rsidRPr="00B904E1" w:rsidRDefault="00B904E1" w:rsidP="00B904E1">
      <w:pPr>
        <w:suppressAutoHyphens/>
        <w:jc w:val="both"/>
        <w:rPr>
          <w:rFonts w:asciiTheme="minorHAnsi" w:hAnsiTheme="minorHAnsi" w:cstheme="minorHAnsi"/>
          <w:sz w:val="21"/>
          <w:szCs w:val="21"/>
        </w:rPr>
      </w:pPr>
    </w:p>
    <w:p w14:paraId="0FDE6091" w14:textId="77777777" w:rsidR="00B904E1" w:rsidRPr="00B904E1" w:rsidRDefault="00B904E1" w:rsidP="00B904E1">
      <w:pPr>
        <w:suppressAutoHyphens/>
        <w:jc w:val="both"/>
        <w:rPr>
          <w:rFonts w:asciiTheme="minorHAnsi" w:hAnsiTheme="minorHAnsi" w:cstheme="minorHAnsi"/>
          <w:sz w:val="21"/>
          <w:szCs w:val="21"/>
        </w:rPr>
      </w:pPr>
    </w:p>
    <w:p w14:paraId="5456ABDE" w14:textId="041C3FD5" w:rsidR="00B904E1" w:rsidRPr="00B904E1" w:rsidRDefault="00B904E1" w:rsidP="00B904E1">
      <w:pPr>
        <w:suppressAutoHyphens/>
        <w:jc w:val="both"/>
        <w:rPr>
          <w:rFonts w:asciiTheme="minorHAnsi" w:hAnsiTheme="minorHAnsi" w:cstheme="minorHAnsi"/>
          <w:sz w:val="21"/>
          <w:szCs w:val="21"/>
        </w:rPr>
      </w:pPr>
      <w:r w:rsidRPr="00B904E1">
        <w:rPr>
          <w:rFonts w:asciiTheme="minorHAnsi" w:hAnsiTheme="minorHAnsi" w:cstheme="minorHAnsi"/>
          <w:sz w:val="21"/>
          <w:szCs w:val="21"/>
        </w:rPr>
        <w:t>The pressure transmitters in a robust stainless steel housing (protection class IP67) with M8</w:t>
      </w:r>
      <w:r w:rsidR="00C85FB4">
        <w:rPr>
          <w:rFonts w:asciiTheme="minorHAnsi" w:hAnsiTheme="minorHAnsi" w:cstheme="minorHAnsi"/>
          <w:sz w:val="21"/>
          <w:szCs w:val="21"/>
        </w:rPr>
        <w:t>-</w:t>
      </w:r>
      <w:r w:rsidRPr="00B904E1">
        <w:rPr>
          <w:rFonts w:asciiTheme="minorHAnsi" w:hAnsiTheme="minorHAnsi" w:cstheme="minorHAnsi"/>
          <w:sz w:val="21"/>
          <w:szCs w:val="21"/>
        </w:rPr>
        <w:t>connector and G1/8" process connection are suitable for ambient temperatures from -10° C to +70° C and are therefore also suitable for demanding operating conditions. The measuring cell is suitable for filtered, dry or lubricated compressed air and technical gases, making it ideal for pneumatic applications in robotics, for example.  For evaluation, the devices integrate an analog output (4...20mA) with an overall accuracy of ±0.5%. The repeatability is ±0.2%.</w:t>
      </w:r>
    </w:p>
    <w:p w14:paraId="1C0C3CAA" w14:textId="77777777" w:rsidR="00B904E1" w:rsidRPr="00B904E1" w:rsidRDefault="00B904E1" w:rsidP="00B904E1">
      <w:pPr>
        <w:suppressAutoHyphens/>
        <w:jc w:val="both"/>
        <w:rPr>
          <w:rFonts w:asciiTheme="minorHAnsi" w:hAnsiTheme="minorHAnsi" w:cstheme="minorHAnsi"/>
          <w:sz w:val="21"/>
          <w:szCs w:val="21"/>
        </w:rPr>
      </w:pPr>
    </w:p>
    <w:p w14:paraId="1C801782" w14:textId="77777777" w:rsidR="00B904E1" w:rsidRPr="00B904E1" w:rsidRDefault="00B904E1" w:rsidP="00B904E1">
      <w:pPr>
        <w:suppressAutoHyphens/>
        <w:jc w:val="both"/>
        <w:rPr>
          <w:rFonts w:asciiTheme="minorHAnsi" w:hAnsiTheme="minorHAnsi" w:cstheme="minorHAnsi"/>
          <w:sz w:val="21"/>
          <w:szCs w:val="21"/>
        </w:rPr>
      </w:pPr>
    </w:p>
    <w:p w14:paraId="5833A4CF" w14:textId="77777777" w:rsidR="00B904E1" w:rsidRPr="00B904E1" w:rsidRDefault="00B904E1" w:rsidP="00B904E1">
      <w:pPr>
        <w:suppressAutoHyphens/>
        <w:jc w:val="both"/>
        <w:rPr>
          <w:rFonts w:asciiTheme="minorHAnsi" w:hAnsiTheme="minorHAnsi" w:cstheme="minorHAnsi"/>
          <w:sz w:val="21"/>
          <w:szCs w:val="21"/>
        </w:rPr>
      </w:pPr>
      <w:r w:rsidRPr="00B904E1">
        <w:rPr>
          <w:rFonts w:asciiTheme="minorHAnsi" w:hAnsiTheme="minorHAnsi" w:cstheme="minorHAnsi"/>
          <w:sz w:val="21"/>
          <w:szCs w:val="21"/>
        </w:rPr>
        <w:t>One of the special features of the new products is that the materials used in the products are free of so-called "paint wetting impairment substances" (LABS) such as silicones or fluorine-containing substances.</w:t>
      </w:r>
    </w:p>
    <w:p w14:paraId="50468BC4" w14:textId="77777777" w:rsidR="00B904E1" w:rsidRPr="00B904E1" w:rsidRDefault="00B904E1" w:rsidP="00B904E1">
      <w:pPr>
        <w:suppressAutoHyphens/>
        <w:jc w:val="both"/>
        <w:rPr>
          <w:rFonts w:asciiTheme="minorHAnsi" w:hAnsiTheme="minorHAnsi" w:cstheme="minorHAnsi"/>
          <w:sz w:val="21"/>
          <w:szCs w:val="21"/>
        </w:rPr>
      </w:pPr>
    </w:p>
    <w:p w14:paraId="3D6CADA1" w14:textId="77777777" w:rsidR="00B904E1" w:rsidRPr="00B904E1" w:rsidRDefault="00B904E1" w:rsidP="00B904E1">
      <w:pPr>
        <w:suppressAutoHyphens/>
        <w:jc w:val="both"/>
        <w:rPr>
          <w:rFonts w:asciiTheme="minorHAnsi" w:hAnsiTheme="minorHAnsi" w:cstheme="minorHAnsi"/>
          <w:sz w:val="21"/>
          <w:szCs w:val="21"/>
        </w:rPr>
      </w:pPr>
    </w:p>
    <w:p w14:paraId="671F1500" w14:textId="66C38C9A" w:rsidR="00DF484E" w:rsidRPr="00B904E1" w:rsidRDefault="00B904E1" w:rsidP="00B904E1">
      <w:pPr>
        <w:suppressAutoHyphens/>
        <w:jc w:val="both"/>
        <w:rPr>
          <w:rFonts w:asciiTheme="minorHAnsi" w:hAnsiTheme="minorHAnsi" w:cstheme="minorHAnsi"/>
          <w:sz w:val="21"/>
          <w:szCs w:val="21"/>
        </w:rPr>
      </w:pPr>
      <w:r w:rsidRPr="00B904E1">
        <w:rPr>
          <w:rFonts w:asciiTheme="minorHAnsi" w:hAnsiTheme="minorHAnsi" w:cstheme="minorHAnsi"/>
          <w:sz w:val="21"/>
          <w:szCs w:val="21"/>
        </w:rPr>
        <w:t>ipf electronic offers the solutions with four different pressure ranges from -1 to 0bar (</w:t>
      </w:r>
      <w:r w:rsidRPr="00C85FB4">
        <w:rPr>
          <w:rFonts w:asciiTheme="minorHAnsi" w:hAnsiTheme="minorHAnsi" w:cstheme="minorHAnsi"/>
          <w:b/>
          <w:bCs/>
          <w:sz w:val="21"/>
          <w:szCs w:val="21"/>
        </w:rPr>
        <w:t>DT164100</w:t>
      </w:r>
      <w:r w:rsidRPr="00B904E1">
        <w:rPr>
          <w:rFonts w:asciiTheme="minorHAnsi" w:hAnsiTheme="minorHAnsi" w:cstheme="minorHAnsi"/>
          <w:sz w:val="21"/>
          <w:szCs w:val="21"/>
        </w:rPr>
        <w:t>), 0 to +10bar (</w:t>
      </w:r>
      <w:r w:rsidRPr="00C85FB4">
        <w:rPr>
          <w:rFonts w:asciiTheme="minorHAnsi" w:hAnsiTheme="minorHAnsi" w:cstheme="minorHAnsi"/>
          <w:b/>
          <w:bCs/>
          <w:sz w:val="21"/>
          <w:szCs w:val="21"/>
        </w:rPr>
        <w:t>DT16410D</w:t>
      </w:r>
      <w:r w:rsidRPr="00B904E1">
        <w:rPr>
          <w:rFonts w:asciiTheme="minorHAnsi" w:hAnsiTheme="minorHAnsi" w:cstheme="minorHAnsi"/>
          <w:sz w:val="21"/>
          <w:szCs w:val="21"/>
        </w:rPr>
        <w:t>),</w:t>
      </w:r>
      <w:r>
        <w:rPr>
          <w:rFonts w:asciiTheme="minorHAnsi" w:hAnsiTheme="minorHAnsi" w:cstheme="minorHAnsi"/>
          <w:sz w:val="21"/>
          <w:szCs w:val="21"/>
        </w:rPr>
        <w:t xml:space="preserve"> </w:t>
      </w:r>
      <w:r w:rsidRPr="00B904E1">
        <w:rPr>
          <w:rFonts w:asciiTheme="minorHAnsi" w:hAnsiTheme="minorHAnsi" w:cstheme="minorHAnsi"/>
          <w:sz w:val="21"/>
          <w:szCs w:val="21"/>
        </w:rPr>
        <w:t>-1 to +1bar (</w:t>
      </w:r>
      <w:r w:rsidRPr="00C85FB4">
        <w:rPr>
          <w:rFonts w:asciiTheme="minorHAnsi" w:hAnsiTheme="minorHAnsi" w:cstheme="minorHAnsi"/>
          <w:b/>
          <w:bCs/>
          <w:sz w:val="21"/>
          <w:szCs w:val="21"/>
        </w:rPr>
        <w:t>DT16410J</w:t>
      </w:r>
      <w:r w:rsidRPr="00B904E1">
        <w:rPr>
          <w:rFonts w:asciiTheme="minorHAnsi" w:hAnsiTheme="minorHAnsi" w:cstheme="minorHAnsi"/>
          <w:sz w:val="21"/>
          <w:szCs w:val="21"/>
        </w:rPr>
        <w:t>) and -1 to +10bar (</w:t>
      </w:r>
      <w:r w:rsidRPr="00C85FB4">
        <w:rPr>
          <w:rFonts w:asciiTheme="minorHAnsi" w:hAnsiTheme="minorHAnsi" w:cstheme="minorHAnsi"/>
          <w:b/>
          <w:bCs/>
          <w:sz w:val="21"/>
          <w:szCs w:val="21"/>
        </w:rPr>
        <w:t>DT16410K</w:t>
      </w:r>
      <w:r w:rsidRPr="00B904E1">
        <w:rPr>
          <w:rFonts w:asciiTheme="minorHAnsi" w:hAnsiTheme="minorHAnsi" w:cstheme="minorHAnsi"/>
          <w:sz w:val="21"/>
          <w:szCs w:val="21"/>
        </w:rPr>
        <w:t>). For easy mounting, a plastic quick clamp (</w:t>
      </w:r>
      <w:r w:rsidRPr="00C85FB4">
        <w:rPr>
          <w:rFonts w:asciiTheme="minorHAnsi" w:hAnsiTheme="minorHAnsi" w:cstheme="minorHAnsi"/>
          <w:b/>
          <w:bCs/>
          <w:sz w:val="21"/>
          <w:szCs w:val="21"/>
        </w:rPr>
        <w:t>AD000014</w:t>
      </w:r>
      <w:r w:rsidRPr="00B904E1">
        <w:rPr>
          <w:rFonts w:asciiTheme="minorHAnsi" w:hAnsiTheme="minorHAnsi" w:cstheme="minorHAnsi"/>
          <w:sz w:val="21"/>
          <w:szCs w:val="21"/>
        </w:rPr>
        <w:t>) is optionally available. In addition, reducers from G1/8" to push-in connection for the 4mm and 6mm hose diameters (</w:t>
      </w:r>
      <w:r w:rsidRPr="00C85FB4">
        <w:rPr>
          <w:rFonts w:asciiTheme="minorHAnsi" w:hAnsiTheme="minorHAnsi" w:cstheme="minorHAnsi"/>
          <w:b/>
          <w:bCs/>
          <w:sz w:val="21"/>
          <w:szCs w:val="21"/>
        </w:rPr>
        <w:t>AD000015/AD000016</w:t>
      </w:r>
      <w:r w:rsidRPr="00B904E1">
        <w:rPr>
          <w:rFonts w:asciiTheme="minorHAnsi" w:hAnsiTheme="minorHAnsi" w:cstheme="minorHAnsi"/>
          <w:sz w:val="21"/>
          <w:szCs w:val="21"/>
        </w:rPr>
        <w:t>) are also available.</w:t>
      </w:r>
    </w:p>
    <w:p w14:paraId="3D585F2D" w14:textId="2FF664E4" w:rsidR="004B2CFC" w:rsidRPr="00B904E1" w:rsidRDefault="004B2CFC" w:rsidP="007B11D5">
      <w:pPr>
        <w:suppressAutoHyphens/>
        <w:jc w:val="both"/>
        <w:rPr>
          <w:rFonts w:asciiTheme="minorHAnsi" w:hAnsiTheme="minorHAnsi" w:cstheme="minorHAnsi"/>
          <w:sz w:val="21"/>
          <w:szCs w:val="21"/>
        </w:rPr>
      </w:pPr>
    </w:p>
    <w:p w14:paraId="62DC0041" w14:textId="3E5DCCD2" w:rsidR="001316E7" w:rsidRPr="00B904E1" w:rsidRDefault="001316E7" w:rsidP="007B11D5">
      <w:pPr>
        <w:suppressAutoHyphens/>
        <w:jc w:val="both"/>
        <w:rPr>
          <w:rFonts w:asciiTheme="minorHAnsi" w:hAnsiTheme="minorHAnsi" w:cstheme="minorHAnsi"/>
          <w:sz w:val="21"/>
          <w:szCs w:val="21"/>
        </w:rPr>
      </w:pPr>
    </w:p>
    <w:p w14:paraId="71AE847F" w14:textId="4ED31D3C" w:rsidR="002577AD" w:rsidRDefault="00B904E1" w:rsidP="007B11D5">
      <w:pPr>
        <w:suppressAutoHyphens/>
        <w:jc w:val="both"/>
        <w:rPr>
          <w:rFonts w:asciiTheme="minorHAnsi" w:hAnsiTheme="minorHAnsi" w:cstheme="minorHAnsi"/>
          <w:sz w:val="18"/>
          <w:szCs w:val="18"/>
          <w:lang w:val="en-US"/>
        </w:rPr>
      </w:pPr>
      <w:r>
        <w:rPr>
          <w:rFonts w:asciiTheme="minorHAnsi" w:hAnsiTheme="minorHAnsi" w:cstheme="minorHAnsi"/>
          <w:noProof/>
          <w:sz w:val="18"/>
          <w:szCs w:val="18"/>
        </w:rPr>
        <w:drawing>
          <wp:inline distT="0" distB="0" distL="0" distR="0" wp14:anchorId="14155F4A" wp14:editId="12F56138">
            <wp:extent cx="3847457" cy="2719046"/>
            <wp:effectExtent l="12700" t="12700" r="13970" b="12065"/>
            <wp:docPr id="5" name="Grafik 5" descr="Ein Bild, das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Licht enthält.&#10;&#10;Automatisch generierte Beschreibung"/>
                    <pic:cNvPicPr/>
                  </pic:nvPicPr>
                  <pic:blipFill>
                    <a:blip r:embed="rId13"/>
                    <a:stretch>
                      <a:fillRect/>
                    </a:stretch>
                  </pic:blipFill>
                  <pic:spPr>
                    <a:xfrm>
                      <a:off x="0" y="0"/>
                      <a:ext cx="3910861" cy="2763854"/>
                    </a:xfrm>
                    <a:prstGeom prst="rect">
                      <a:avLst/>
                    </a:prstGeom>
                    <a:ln w="3175">
                      <a:solidFill>
                        <a:schemeClr val="tx1"/>
                      </a:solidFill>
                    </a:ln>
                  </pic:spPr>
                </pic:pic>
              </a:graphicData>
            </a:graphic>
          </wp:inline>
        </w:drawing>
      </w:r>
    </w:p>
    <w:p w14:paraId="2E6621D5" w14:textId="77777777" w:rsidR="00B904E1" w:rsidRDefault="00B904E1" w:rsidP="007B11D5">
      <w:pPr>
        <w:suppressAutoHyphens/>
        <w:jc w:val="both"/>
        <w:rPr>
          <w:rFonts w:asciiTheme="minorHAnsi" w:hAnsiTheme="minorHAnsi" w:cstheme="minorHAnsi"/>
          <w:sz w:val="18"/>
          <w:szCs w:val="18"/>
          <w:lang w:val="en-US"/>
        </w:rPr>
      </w:pPr>
    </w:p>
    <w:p w14:paraId="4D3111FE" w14:textId="77777777" w:rsidR="00C85FB4" w:rsidRPr="00C85FB4" w:rsidRDefault="00C85FB4" w:rsidP="00C85FB4">
      <w:pPr>
        <w:suppressAutoHyphens/>
        <w:jc w:val="both"/>
        <w:rPr>
          <w:rFonts w:asciiTheme="minorHAnsi" w:hAnsiTheme="minorHAnsi" w:cstheme="minorHAnsi"/>
          <w:sz w:val="18"/>
          <w:szCs w:val="18"/>
        </w:rPr>
      </w:pPr>
      <w:r w:rsidRPr="00C85FB4">
        <w:rPr>
          <w:rFonts w:asciiTheme="minorHAnsi" w:hAnsiTheme="minorHAnsi" w:cstheme="minorHAnsi"/>
          <w:i/>
          <w:iCs/>
          <w:sz w:val="18"/>
          <w:szCs w:val="18"/>
        </w:rPr>
        <w:t xml:space="preserve">Caption: </w:t>
      </w:r>
      <w:r w:rsidRPr="00C85FB4">
        <w:rPr>
          <w:rFonts w:asciiTheme="minorHAnsi" w:hAnsiTheme="minorHAnsi" w:cstheme="minorHAnsi"/>
          <w:sz w:val="18"/>
          <w:szCs w:val="18"/>
        </w:rPr>
        <w:t xml:space="preserve">Extremely compact, lightweight and versatile, the new pressure transmitters </w:t>
      </w:r>
    </w:p>
    <w:p w14:paraId="1046B0FF" w14:textId="6E8C2439" w:rsidR="00B904E1" w:rsidRPr="00C85FB4" w:rsidRDefault="00C85FB4" w:rsidP="00C85FB4">
      <w:pPr>
        <w:suppressAutoHyphens/>
        <w:jc w:val="both"/>
        <w:rPr>
          <w:rFonts w:asciiTheme="minorHAnsi" w:hAnsiTheme="minorHAnsi" w:cstheme="minorHAnsi"/>
          <w:sz w:val="18"/>
          <w:szCs w:val="18"/>
          <w:lang w:val="en-US"/>
        </w:rPr>
      </w:pPr>
      <w:r w:rsidRPr="00C85FB4">
        <w:rPr>
          <w:rFonts w:asciiTheme="minorHAnsi" w:hAnsiTheme="minorHAnsi" w:cstheme="minorHAnsi"/>
          <w:sz w:val="18"/>
          <w:szCs w:val="18"/>
        </w:rPr>
        <w:t xml:space="preserve">of the </w:t>
      </w:r>
      <w:r w:rsidRPr="00C85FB4">
        <w:rPr>
          <w:rFonts w:asciiTheme="minorHAnsi" w:hAnsiTheme="minorHAnsi" w:cstheme="minorHAnsi"/>
          <w:b/>
          <w:bCs/>
          <w:sz w:val="18"/>
          <w:szCs w:val="18"/>
        </w:rPr>
        <w:t>DT16410x</w:t>
      </w:r>
      <w:r w:rsidRPr="00C85FB4">
        <w:rPr>
          <w:rFonts w:asciiTheme="minorHAnsi" w:hAnsiTheme="minorHAnsi" w:cstheme="minorHAnsi"/>
          <w:sz w:val="18"/>
          <w:szCs w:val="18"/>
        </w:rPr>
        <w:t xml:space="preserve"> series from ipf electronic. (Image: ipf electronic gmbh)</w:t>
      </w: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Rosmarter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E8F3" w14:textId="77777777" w:rsidR="00FC2231" w:rsidRDefault="00FC2231">
      <w:r>
        <w:separator/>
      </w:r>
    </w:p>
  </w:endnote>
  <w:endnote w:type="continuationSeparator" w:id="0">
    <w:p w14:paraId="5D8A6393" w14:textId="77777777" w:rsidR="00FC2231" w:rsidRDefault="00FC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24FC" w14:textId="77777777" w:rsidR="00FC2231" w:rsidRDefault="00FC2231">
      <w:r>
        <w:separator/>
      </w:r>
    </w:p>
  </w:footnote>
  <w:footnote w:type="continuationSeparator" w:id="0">
    <w:p w14:paraId="5EE1DAFA" w14:textId="77777777" w:rsidR="00FC2231" w:rsidRDefault="00FC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339A"/>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904E1"/>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60A43"/>
    <w:rsid w:val="00C61C60"/>
    <w:rsid w:val="00C62C8B"/>
    <w:rsid w:val="00C64116"/>
    <w:rsid w:val="00C65567"/>
    <w:rsid w:val="00C6767D"/>
    <w:rsid w:val="00C67C53"/>
    <w:rsid w:val="00C776FF"/>
    <w:rsid w:val="00C85FB4"/>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4CD4"/>
    <w:rsid w:val="00FB5B4D"/>
    <w:rsid w:val="00FC2231"/>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3099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4</cp:revision>
  <cp:lastPrinted>2020-08-21T09:25:00Z</cp:lastPrinted>
  <dcterms:created xsi:type="dcterms:W3CDTF">2022-11-14T09:48:00Z</dcterms:created>
  <dcterms:modified xsi:type="dcterms:W3CDTF">2023-05-08T08:21:00Z</dcterms:modified>
</cp:coreProperties>
</file>